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D14" w14:textId="77777777" w:rsidR="005F7EEE" w:rsidRPr="005D1ACB" w:rsidRDefault="004A3478" w:rsidP="004A3478">
      <w:pPr>
        <w:rPr>
          <w:rFonts w:ascii="Arial" w:hAnsi="Arial" w:cs="Arial"/>
          <w:b/>
          <w:sz w:val="28"/>
          <w:szCs w:val="28"/>
        </w:rPr>
      </w:pPr>
      <w:r w:rsidRPr="005D1ACB">
        <w:rPr>
          <w:rFonts w:ascii="Arial" w:hAnsi="Arial" w:cs="Arial"/>
          <w:b/>
          <w:sz w:val="28"/>
          <w:szCs w:val="28"/>
        </w:rPr>
        <w:t>NORTH WEST REGIONAL COLLEGE</w:t>
      </w:r>
    </w:p>
    <w:p w14:paraId="357CFD88" w14:textId="77777777" w:rsidR="004A3478" w:rsidRPr="005D1ACB" w:rsidRDefault="004A3478" w:rsidP="004A3478">
      <w:pPr>
        <w:rPr>
          <w:rFonts w:ascii="Arial" w:hAnsi="Arial" w:cs="Arial"/>
          <w:b/>
          <w:sz w:val="28"/>
          <w:szCs w:val="28"/>
        </w:rPr>
      </w:pPr>
      <w:r w:rsidRPr="005D1ACB">
        <w:rPr>
          <w:rFonts w:ascii="Arial" w:hAnsi="Arial" w:cs="Arial"/>
          <w:b/>
          <w:sz w:val="28"/>
          <w:szCs w:val="28"/>
        </w:rPr>
        <w:t xml:space="preserve">EQUALITY SCREENING REPORT </w:t>
      </w:r>
    </w:p>
    <w:p w14:paraId="17170826" w14:textId="031DA138" w:rsidR="004A3478" w:rsidRDefault="004A3478" w:rsidP="004A3478">
      <w:pPr>
        <w:rPr>
          <w:rFonts w:ascii="Arial" w:hAnsi="Arial" w:cs="Arial"/>
          <w:b/>
          <w:sz w:val="28"/>
          <w:szCs w:val="28"/>
        </w:rPr>
      </w:pPr>
      <w:r w:rsidRPr="005D1ACB">
        <w:rPr>
          <w:rFonts w:ascii="Arial" w:hAnsi="Arial" w:cs="Arial"/>
          <w:b/>
          <w:sz w:val="28"/>
          <w:szCs w:val="28"/>
        </w:rPr>
        <w:t xml:space="preserve">POLICIES SCREENED IN QUARTER </w:t>
      </w:r>
      <w:r w:rsidR="000A75E9">
        <w:rPr>
          <w:rFonts w:ascii="Arial" w:hAnsi="Arial" w:cs="Arial"/>
          <w:b/>
          <w:sz w:val="28"/>
          <w:szCs w:val="28"/>
        </w:rPr>
        <w:t>4</w:t>
      </w:r>
      <w:r w:rsidR="00CD04FE" w:rsidRPr="005D1ACB">
        <w:rPr>
          <w:rFonts w:ascii="Arial" w:hAnsi="Arial" w:cs="Arial"/>
          <w:b/>
          <w:sz w:val="28"/>
          <w:szCs w:val="28"/>
        </w:rPr>
        <w:t xml:space="preserve"> </w:t>
      </w:r>
      <w:r w:rsidRPr="005D1ACB">
        <w:rPr>
          <w:rFonts w:ascii="Arial" w:hAnsi="Arial" w:cs="Arial"/>
          <w:b/>
          <w:sz w:val="28"/>
          <w:szCs w:val="28"/>
        </w:rPr>
        <w:t>(</w:t>
      </w:r>
      <w:r w:rsidR="000A75E9">
        <w:rPr>
          <w:rFonts w:ascii="Arial" w:hAnsi="Arial" w:cs="Arial"/>
          <w:b/>
          <w:sz w:val="28"/>
          <w:szCs w:val="28"/>
        </w:rPr>
        <w:t>January 2022 to</w:t>
      </w:r>
      <w:r w:rsidR="00F60C72">
        <w:rPr>
          <w:rFonts w:ascii="Arial" w:hAnsi="Arial" w:cs="Arial"/>
          <w:b/>
          <w:sz w:val="28"/>
          <w:szCs w:val="28"/>
        </w:rPr>
        <w:t xml:space="preserve"> </w:t>
      </w:r>
      <w:r w:rsidR="000A75E9">
        <w:rPr>
          <w:rFonts w:ascii="Arial" w:hAnsi="Arial" w:cs="Arial"/>
          <w:b/>
          <w:sz w:val="28"/>
          <w:szCs w:val="28"/>
        </w:rPr>
        <w:t>March 2022</w:t>
      </w:r>
      <w:r w:rsidR="00CD04FE" w:rsidRPr="005D1ACB">
        <w:rPr>
          <w:rFonts w:ascii="Arial" w:hAnsi="Arial" w:cs="Arial"/>
          <w:b/>
          <w:sz w:val="28"/>
          <w:szCs w:val="28"/>
        </w:rPr>
        <w:t>)</w:t>
      </w:r>
      <w:r w:rsidR="00D87D15" w:rsidRPr="005D1ACB">
        <w:rPr>
          <w:rFonts w:ascii="Arial" w:hAnsi="Arial" w:cs="Arial"/>
          <w:b/>
          <w:sz w:val="28"/>
          <w:szCs w:val="28"/>
        </w:rPr>
        <w:t xml:space="preserve"> </w:t>
      </w:r>
    </w:p>
    <w:p w14:paraId="22BEA4C8" w14:textId="06C4526C" w:rsidR="00F60C72" w:rsidRDefault="00F60C72" w:rsidP="004A3478">
      <w:pPr>
        <w:rPr>
          <w:rFonts w:ascii="Arial" w:hAnsi="Arial" w:cs="Arial"/>
          <w:b/>
          <w:sz w:val="28"/>
          <w:szCs w:val="28"/>
        </w:rPr>
      </w:pPr>
    </w:p>
    <w:tbl>
      <w:tblPr>
        <w:tblStyle w:val="TableGridLight"/>
        <w:tblW w:w="15501" w:type="dxa"/>
        <w:tblLook w:val="04A0" w:firstRow="1" w:lastRow="0" w:firstColumn="1" w:lastColumn="0" w:noHBand="0" w:noVBand="1"/>
      </w:tblPr>
      <w:tblGrid>
        <w:gridCol w:w="2689"/>
        <w:gridCol w:w="5583"/>
        <w:gridCol w:w="1530"/>
        <w:gridCol w:w="2297"/>
        <w:gridCol w:w="3402"/>
      </w:tblGrid>
      <w:tr w:rsidR="00F60C72" w:rsidRPr="005D1ACB" w14:paraId="7DEFD86C" w14:textId="77777777" w:rsidTr="00AA11E4">
        <w:trPr>
          <w:tblHeader/>
        </w:trPr>
        <w:tc>
          <w:tcPr>
            <w:tcW w:w="2689" w:type="dxa"/>
            <w:shd w:val="clear" w:color="auto" w:fill="C2D69B" w:themeFill="accent3" w:themeFillTint="99"/>
          </w:tcPr>
          <w:p w14:paraId="474CCD91" w14:textId="77777777" w:rsidR="00F60C72" w:rsidRPr="005D1ACB" w:rsidRDefault="00F60C72" w:rsidP="00AA11E4">
            <w:pPr>
              <w:rPr>
                <w:rFonts w:ascii="Arial" w:hAnsi="Arial" w:cs="Arial"/>
                <w:b/>
                <w:sz w:val="28"/>
                <w:szCs w:val="28"/>
              </w:rPr>
            </w:pPr>
            <w:r w:rsidRPr="005D1ACB">
              <w:rPr>
                <w:rFonts w:ascii="Arial" w:hAnsi="Arial" w:cs="Arial"/>
                <w:b/>
                <w:sz w:val="28"/>
                <w:szCs w:val="28"/>
              </w:rPr>
              <w:t>Policy title</w:t>
            </w:r>
          </w:p>
        </w:tc>
        <w:tc>
          <w:tcPr>
            <w:tcW w:w="5583" w:type="dxa"/>
            <w:shd w:val="clear" w:color="auto" w:fill="C2D69B" w:themeFill="accent3" w:themeFillTint="99"/>
          </w:tcPr>
          <w:p w14:paraId="68770186" w14:textId="77777777" w:rsidR="00F60C72" w:rsidRPr="005D1ACB" w:rsidRDefault="00F60C72" w:rsidP="00AA11E4">
            <w:pPr>
              <w:rPr>
                <w:rFonts w:ascii="Arial" w:hAnsi="Arial" w:cs="Arial"/>
                <w:b/>
                <w:sz w:val="28"/>
                <w:szCs w:val="28"/>
              </w:rPr>
            </w:pPr>
            <w:r w:rsidRPr="005D1ACB">
              <w:rPr>
                <w:rFonts w:ascii="Arial" w:hAnsi="Arial" w:cs="Arial"/>
                <w:b/>
                <w:sz w:val="28"/>
                <w:szCs w:val="28"/>
              </w:rPr>
              <w:t>Aim of Policy</w:t>
            </w:r>
          </w:p>
        </w:tc>
        <w:tc>
          <w:tcPr>
            <w:tcW w:w="1530" w:type="dxa"/>
            <w:shd w:val="clear" w:color="auto" w:fill="C2D69B" w:themeFill="accent3" w:themeFillTint="99"/>
          </w:tcPr>
          <w:p w14:paraId="38826751" w14:textId="77777777" w:rsidR="00F60C72" w:rsidRPr="005D1ACB" w:rsidRDefault="00F60C72" w:rsidP="00AA11E4">
            <w:pPr>
              <w:rPr>
                <w:rFonts w:ascii="Arial" w:hAnsi="Arial" w:cs="Arial"/>
                <w:b/>
                <w:sz w:val="28"/>
                <w:szCs w:val="28"/>
              </w:rPr>
            </w:pPr>
            <w:r w:rsidRPr="005D1ACB">
              <w:rPr>
                <w:rFonts w:ascii="Arial" w:hAnsi="Arial" w:cs="Arial"/>
                <w:b/>
                <w:sz w:val="28"/>
                <w:szCs w:val="28"/>
              </w:rPr>
              <w:t>New / existing / revised policy</w:t>
            </w:r>
          </w:p>
        </w:tc>
        <w:tc>
          <w:tcPr>
            <w:tcW w:w="2297" w:type="dxa"/>
            <w:shd w:val="clear" w:color="auto" w:fill="C2D69B" w:themeFill="accent3" w:themeFillTint="99"/>
          </w:tcPr>
          <w:p w14:paraId="7DC26F01" w14:textId="77777777" w:rsidR="00F60C72" w:rsidRPr="005D1ACB" w:rsidRDefault="00F60C72" w:rsidP="00AA11E4">
            <w:pPr>
              <w:rPr>
                <w:rFonts w:ascii="Arial" w:hAnsi="Arial" w:cs="Arial"/>
                <w:b/>
                <w:sz w:val="28"/>
                <w:szCs w:val="28"/>
              </w:rPr>
            </w:pPr>
            <w:r w:rsidRPr="005D1ACB">
              <w:rPr>
                <w:rFonts w:ascii="Arial" w:hAnsi="Arial" w:cs="Arial"/>
                <w:b/>
                <w:sz w:val="28"/>
                <w:szCs w:val="28"/>
              </w:rPr>
              <w:t>Date of Screening</w:t>
            </w:r>
          </w:p>
        </w:tc>
        <w:tc>
          <w:tcPr>
            <w:tcW w:w="3402" w:type="dxa"/>
            <w:shd w:val="clear" w:color="auto" w:fill="C2D69B" w:themeFill="accent3" w:themeFillTint="99"/>
          </w:tcPr>
          <w:p w14:paraId="27297EBD" w14:textId="77777777" w:rsidR="00F60C72" w:rsidRPr="005D1ACB" w:rsidRDefault="00F60C72" w:rsidP="00AA11E4">
            <w:pPr>
              <w:rPr>
                <w:rFonts w:ascii="Arial" w:hAnsi="Arial" w:cs="Arial"/>
                <w:b/>
                <w:sz w:val="28"/>
                <w:szCs w:val="28"/>
              </w:rPr>
            </w:pPr>
            <w:r w:rsidRPr="005D1ACB">
              <w:rPr>
                <w:rFonts w:ascii="Arial" w:hAnsi="Arial" w:cs="Arial"/>
                <w:b/>
                <w:sz w:val="28"/>
                <w:szCs w:val="28"/>
              </w:rPr>
              <w:t>Screening decision</w:t>
            </w:r>
          </w:p>
        </w:tc>
      </w:tr>
      <w:tr w:rsidR="00F60C72" w:rsidRPr="00F60C72" w14:paraId="2DF2D3A2" w14:textId="77777777" w:rsidTr="00F60C72">
        <w:tc>
          <w:tcPr>
            <w:tcW w:w="2689" w:type="dxa"/>
          </w:tcPr>
          <w:p w14:paraId="0555A880" w14:textId="32915B31" w:rsidR="00F60C72" w:rsidRPr="00F60C72" w:rsidRDefault="00F60C72" w:rsidP="00AA11E4">
            <w:pPr>
              <w:rPr>
                <w:rFonts w:ascii="Arial" w:hAnsi="Arial" w:cs="Arial"/>
                <w:bCs/>
                <w:sz w:val="28"/>
                <w:szCs w:val="28"/>
              </w:rPr>
            </w:pPr>
            <w:r>
              <w:rPr>
                <w:rFonts w:ascii="Arial" w:hAnsi="Arial" w:cs="Arial"/>
                <w:bCs/>
                <w:sz w:val="28"/>
                <w:szCs w:val="28"/>
              </w:rPr>
              <w:t>Good Practice Guidance on Menopause</w:t>
            </w:r>
          </w:p>
        </w:tc>
        <w:tc>
          <w:tcPr>
            <w:tcW w:w="5583" w:type="dxa"/>
          </w:tcPr>
          <w:p w14:paraId="422DE1BC" w14:textId="77777777" w:rsidR="00F60C72" w:rsidRPr="00F60C72" w:rsidRDefault="00F60C72" w:rsidP="00AA11E4">
            <w:pPr>
              <w:rPr>
                <w:rFonts w:ascii="Arial" w:eastAsia="Times New Roman" w:hAnsi="Arial" w:cs="Arial"/>
                <w:sz w:val="28"/>
                <w:szCs w:val="28"/>
              </w:rPr>
            </w:pPr>
            <w:r w:rsidRPr="00F60C72">
              <w:rPr>
                <w:rFonts w:ascii="Arial" w:eastAsia="Times New Roman" w:hAnsi="Arial" w:cs="Arial"/>
                <w:sz w:val="28"/>
                <w:szCs w:val="28"/>
              </w:rPr>
              <w:t>The aims of this policy are to: foster an environment in which colleagues can openly and comfortably instigate conversations, or engage in discussions about menopause; ensure everyone understands what menopause is, can confidently have good conversations, and are clear on the College’s policy and practices, supported by HR Services and Occupational Health; educate and inform managers about the potential symptoms of menopause, and how they can support women at work; ensure that women suffering with menopause symptoms feel confident to discuss it and ask for support and any reasonable adjustments so they can continue to be successful in their role; reduce absenteeism due to</w:t>
            </w:r>
            <w:r w:rsidRPr="00F60C72">
              <w:rPr>
                <w:rFonts w:ascii="Arial" w:eastAsia="Times New Roman" w:hAnsi="Arial" w:cs="Arial"/>
                <w:sz w:val="32"/>
                <w:szCs w:val="28"/>
              </w:rPr>
              <w:t xml:space="preserve"> </w:t>
            </w:r>
            <w:r w:rsidRPr="00F60C72">
              <w:rPr>
                <w:rFonts w:ascii="Arial" w:eastAsia="Times New Roman" w:hAnsi="Arial" w:cs="Arial"/>
                <w:sz w:val="28"/>
                <w:szCs w:val="28"/>
              </w:rPr>
              <w:t xml:space="preserve">menopausal symptoms and assure women that we are a responsible employer, committed to supporting their needs during menopause. </w:t>
            </w:r>
          </w:p>
          <w:p w14:paraId="7539BBB7" w14:textId="77777777" w:rsidR="00F60C72" w:rsidRPr="00F60C72" w:rsidRDefault="00F60C72" w:rsidP="00AA11E4">
            <w:pPr>
              <w:rPr>
                <w:rFonts w:ascii="Arial" w:hAnsi="Arial" w:cs="Arial"/>
                <w:bCs/>
                <w:sz w:val="28"/>
                <w:szCs w:val="28"/>
              </w:rPr>
            </w:pPr>
          </w:p>
        </w:tc>
        <w:tc>
          <w:tcPr>
            <w:tcW w:w="1530" w:type="dxa"/>
          </w:tcPr>
          <w:p w14:paraId="42E35431" w14:textId="5C3ABD89" w:rsidR="00F60C72" w:rsidRPr="00F60C72" w:rsidRDefault="00F60C72" w:rsidP="00AA11E4">
            <w:pPr>
              <w:rPr>
                <w:rFonts w:ascii="Arial" w:hAnsi="Arial" w:cs="Arial"/>
                <w:bCs/>
                <w:sz w:val="28"/>
                <w:szCs w:val="28"/>
              </w:rPr>
            </w:pPr>
            <w:r>
              <w:rPr>
                <w:rFonts w:ascii="Arial" w:hAnsi="Arial" w:cs="Arial"/>
                <w:bCs/>
                <w:sz w:val="28"/>
                <w:szCs w:val="28"/>
              </w:rPr>
              <w:t>Existing</w:t>
            </w:r>
          </w:p>
        </w:tc>
        <w:tc>
          <w:tcPr>
            <w:tcW w:w="2297" w:type="dxa"/>
          </w:tcPr>
          <w:p w14:paraId="2621A741" w14:textId="611A7617" w:rsidR="00F60C72" w:rsidRPr="00F60C72" w:rsidRDefault="00F60C72" w:rsidP="00AA11E4">
            <w:pPr>
              <w:rPr>
                <w:rFonts w:ascii="Arial" w:hAnsi="Arial" w:cs="Arial"/>
                <w:bCs/>
                <w:sz w:val="28"/>
                <w:szCs w:val="28"/>
              </w:rPr>
            </w:pPr>
            <w:r>
              <w:rPr>
                <w:rFonts w:ascii="Arial" w:hAnsi="Arial" w:cs="Arial"/>
                <w:bCs/>
                <w:sz w:val="28"/>
                <w:szCs w:val="28"/>
              </w:rPr>
              <w:t>31 January 2022</w:t>
            </w:r>
          </w:p>
        </w:tc>
        <w:tc>
          <w:tcPr>
            <w:tcW w:w="3402" w:type="dxa"/>
          </w:tcPr>
          <w:p w14:paraId="741A3F14" w14:textId="2AD8737C" w:rsidR="00F60C72" w:rsidRPr="00F60C72" w:rsidRDefault="00BC09FB" w:rsidP="00AA11E4">
            <w:pPr>
              <w:rPr>
                <w:rFonts w:ascii="Arial" w:hAnsi="Arial" w:cs="Arial"/>
                <w:bCs/>
                <w:sz w:val="28"/>
                <w:szCs w:val="28"/>
              </w:rPr>
            </w:pPr>
            <w:r w:rsidRPr="00BC09FB">
              <w:rPr>
                <w:rFonts w:ascii="Arial" w:hAnsi="Arial" w:cs="Arial"/>
                <w:bCs/>
                <w:sz w:val="28"/>
                <w:szCs w:val="28"/>
              </w:rPr>
              <w:t>This policy has no adverse impact on any of the nine equality categories</w:t>
            </w:r>
          </w:p>
        </w:tc>
      </w:tr>
      <w:tr w:rsidR="00367A18" w:rsidRPr="00F60C72" w14:paraId="547CF6AF" w14:textId="77777777" w:rsidTr="00F60C72">
        <w:tc>
          <w:tcPr>
            <w:tcW w:w="2689" w:type="dxa"/>
          </w:tcPr>
          <w:p w14:paraId="2932A24B" w14:textId="29F156DD" w:rsidR="00367A18" w:rsidRDefault="00367A18" w:rsidP="00AA11E4">
            <w:pPr>
              <w:rPr>
                <w:rFonts w:ascii="Arial" w:hAnsi="Arial" w:cs="Arial"/>
                <w:bCs/>
                <w:sz w:val="28"/>
                <w:szCs w:val="28"/>
              </w:rPr>
            </w:pPr>
            <w:r>
              <w:rPr>
                <w:rFonts w:ascii="Arial" w:hAnsi="Arial" w:cs="Arial"/>
                <w:bCs/>
                <w:sz w:val="28"/>
                <w:szCs w:val="28"/>
              </w:rPr>
              <w:lastRenderedPageBreak/>
              <w:t>Public Information Guidelines</w:t>
            </w:r>
          </w:p>
        </w:tc>
        <w:tc>
          <w:tcPr>
            <w:tcW w:w="5583" w:type="dxa"/>
          </w:tcPr>
          <w:p w14:paraId="59106952" w14:textId="78999971" w:rsidR="00367A18" w:rsidRPr="00367A18" w:rsidRDefault="00367A18" w:rsidP="00367A18">
            <w:pPr>
              <w:rPr>
                <w:rFonts w:ascii="Arial" w:eastAsia="Times New Roman" w:hAnsi="Arial" w:cs="Arial"/>
                <w:sz w:val="28"/>
                <w:szCs w:val="28"/>
              </w:rPr>
            </w:pPr>
            <w:r w:rsidRPr="00367A18">
              <w:rPr>
                <w:rFonts w:ascii="Arial" w:eastAsia="Times New Roman" w:hAnsi="Arial" w:cs="Arial"/>
                <w:sz w:val="28"/>
                <w:szCs w:val="28"/>
              </w:rPr>
              <w:t xml:space="preserve">The aim of the guidelines is to ensure the college publishes </w:t>
            </w:r>
            <w:r w:rsidR="008B584B" w:rsidRPr="00367A18">
              <w:rPr>
                <w:rFonts w:ascii="Arial" w:eastAsia="Times New Roman" w:hAnsi="Arial" w:cs="Arial"/>
                <w:sz w:val="28"/>
                <w:szCs w:val="28"/>
              </w:rPr>
              <w:t>information,</w:t>
            </w:r>
            <w:r w:rsidRPr="00367A18">
              <w:rPr>
                <w:rFonts w:ascii="Arial" w:eastAsia="Times New Roman" w:hAnsi="Arial" w:cs="Arial"/>
                <w:sz w:val="28"/>
                <w:szCs w:val="28"/>
              </w:rPr>
              <w:t xml:space="preserve"> which is accurate, fit for purpose, accessible, timely and legally compliant, to enable the public to engage with the College.  In an increasing number of cases, the publicising of this information is mandatory to meet statutory, regular or professional requirements.</w:t>
            </w:r>
          </w:p>
          <w:p w14:paraId="1688DFA1" w14:textId="77777777" w:rsidR="00367A18" w:rsidRPr="00F60C72" w:rsidRDefault="00367A18" w:rsidP="00AA11E4">
            <w:pPr>
              <w:rPr>
                <w:rFonts w:ascii="Arial" w:eastAsia="Times New Roman" w:hAnsi="Arial" w:cs="Arial"/>
                <w:sz w:val="28"/>
                <w:szCs w:val="28"/>
              </w:rPr>
            </w:pPr>
          </w:p>
        </w:tc>
        <w:tc>
          <w:tcPr>
            <w:tcW w:w="1530" w:type="dxa"/>
          </w:tcPr>
          <w:p w14:paraId="1BF7E8CD" w14:textId="4BC2D18E" w:rsidR="00367A18" w:rsidRDefault="00367A18" w:rsidP="00AA11E4">
            <w:pPr>
              <w:rPr>
                <w:rFonts w:ascii="Arial" w:hAnsi="Arial" w:cs="Arial"/>
                <w:bCs/>
                <w:sz w:val="28"/>
                <w:szCs w:val="28"/>
              </w:rPr>
            </w:pPr>
            <w:r>
              <w:rPr>
                <w:rFonts w:ascii="Arial" w:hAnsi="Arial" w:cs="Arial"/>
                <w:bCs/>
                <w:sz w:val="28"/>
                <w:szCs w:val="28"/>
              </w:rPr>
              <w:t>Existing</w:t>
            </w:r>
          </w:p>
        </w:tc>
        <w:tc>
          <w:tcPr>
            <w:tcW w:w="2297" w:type="dxa"/>
          </w:tcPr>
          <w:p w14:paraId="10AAB4A0" w14:textId="3F4109DD" w:rsidR="00367A18" w:rsidRDefault="00367A18" w:rsidP="00AA11E4">
            <w:pPr>
              <w:rPr>
                <w:rFonts w:ascii="Arial" w:hAnsi="Arial" w:cs="Arial"/>
                <w:bCs/>
                <w:sz w:val="28"/>
                <w:szCs w:val="28"/>
              </w:rPr>
            </w:pPr>
            <w:r>
              <w:rPr>
                <w:rFonts w:ascii="Arial" w:hAnsi="Arial" w:cs="Arial"/>
                <w:bCs/>
                <w:sz w:val="28"/>
                <w:szCs w:val="28"/>
              </w:rPr>
              <w:t>4 February 2022</w:t>
            </w:r>
          </w:p>
        </w:tc>
        <w:tc>
          <w:tcPr>
            <w:tcW w:w="3402" w:type="dxa"/>
          </w:tcPr>
          <w:p w14:paraId="7FE021C8" w14:textId="337798B8" w:rsidR="00367A18" w:rsidRPr="00BC09FB" w:rsidRDefault="00367A18" w:rsidP="00AA11E4">
            <w:pPr>
              <w:rPr>
                <w:rFonts w:ascii="Arial" w:hAnsi="Arial" w:cs="Arial"/>
                <w:bCs/>
                <w:sz w:val="28"/>
                <w:szCs w:val="28"/>
              </w:rPr>
            </w:pPr>
            <w:r w:rsidRPr="00367A18">
              <w:rPr>
                <w:rFonts w:ascii="Arial" w:hAnsi="Arial" w:cs="Arial"/>
                <w:bCs/>
                <w:sz w:val="28"/>
                <w:szCs w:val="28"/>
              </w:rPr>
              <w:t>The Policy has no impact on any of the Section 75 equality categories</w:t>
            </w:r>
          </w:p>
        </w:tc>
      </w:tr>
      <w:tr w:rsidR="002306F3" w:rsidRPr="00F60C72" w14:paraId="5A773D98" w14:textId="77777777" w:rsidTr="00F60C72">
        <w:tc>
          <w:tcPr>
            <w:tcW w:w="2689" w:type="dxa"/>
          </w:tcPr>
          <w:p w14:paraId="746EE968" w14:textId="6CAC825A" w:rsidR="002306F3" w:rsidRDefault="002306F3" w:rsidP="00AA11E4">
            <w:pPr>
              <w:rPr>
                <w:rFonts w:ascii="Arial" w:hAnsi="Arial" w:cs="Arial"/>
                <w:bCs/>
                <w:sz w:val="28"/>
                <w:szCs w:val="28"/>
              </w:rPr>
            </w:pPr>
            <w:r>
              <w:rPr>
                <w:rFonts w:ascii="Arial" w:hAnsi="Arial" w:cs="Arial"/>
                <w:bCs/>
                <w:sz w:val="28"/>
                <w:szCs w:val="28"/>
              </w:rPr>
              <w:t>Disciplinary Policy (Student)</w:t>
            </w:r>
          </w:p>
        </w:tc>
        <w:tc>
          <w:tcPr>
            <w:tcW w:w="5583" w:type="dxa"/>
          </w:tcPr>
          <w:p w14:paraId="2B82E09D" w14:textId="77777777" w:rsidR="002306F3" w:rsidRPr="002306F3" w:rsidRDefault="002306F3" w:rsidP="002306F3">
            <w:pPr>
              <w:rPr>
                <w:rFonts w:ascii="Arial" w:eastAsia="Times New Roman" w:hAnsi="Arial" w:cs="Arial"/>
                <w:sz w:val="28"/>
                <w:szCs w:val="28"/>
              </w:rPr>
            </w:pPr>
            <w:r w:rsidRPr="002306F3">
              <w:rPr>
                <w:rFonts w:ascii="Arial" w:eastAsia="Times New Roman" w:hAnsi="Arial" w:cs="Arial"/>
                <w:sz w:val="28"/>
                <w:szCs w:val="28"/>
              </w:rPr>
              <w:t xml:space="preserve">The purpose of this procedure is to provide a fair, equitable and consistent arrangement for the handling of situations where disciplinary action against a student is considered necessary. </w:t>
            </w:r>
          </w:p>
          <w:p w14:paraId="56EFAC31" w14:textId="77777777" w:rsidR="002306F3" w:rsidRPr="002306F3" w:rsidRDefault="002306F3" w:rsidP="002306F3">
            <w:pPr>
              <w:rPr>
                <w:rFonts w:ascii="Arial" w:eastAsia="Times New Roman" w:hAnsi="Arial" w:cs="Arial"/>
                <w:sz w:val="28"/>
                <w:szCs w:val="28"/>
              </w:rPr>
            </w:pPr>
          </w:p>
          <w:p w14:paraId="43ADC6BE" w14:textId="77777777" w:rsidR="002306F3" w:rsidRPr="002306F3" w:rsidRDefault="002306F3" w:rsidP="002306F3">
            <w:pPr>
              <w:rPr>
                <w:rFonts w:ascii="Arial" w:eastAsia="Times New Roman" w:hAnsi="Arial" w:cs="Arial"/>
                <w:sz w:val="28"/>
                <w:szCs w:val="28"/>
              </w:rPr>
            </w:pPr>
            <w:r w:rsidRPr="002306F3">
              <w:rPr>
                <w:rFonts w:ascii="Arial" w:eastAsia="Times New Roman" w:hAnsi="Arial" w:cs="Arial"/>
                <w:sz w:val="28"/>
                <w:szCs w:val="28"/>
              </w:rPr>
              <w:t>The formal procedure will not be invoked for offences of a minor nature until the informal procedure has been completed.</w:t>
            </w:r>
          </w:p>
          <w:p w14:paraId="5DFD3404" w14:textId="77777777" w:rsidR="002306F3" w:rsidRPr="00367A18" w:rsidRDefault="002306F3" w:rsidP="00367A18">
            <w:pPr>
              <w:rPr>
                <w:rFonts w:ascii="Arial" w:eastAsia="Times New Roman" w:hAnsi="Arial" w:cs="Arial"/>
                <w:sz w:val="28"/>
                <w:szCs w:val="28"/>
              </w:rPr>
            </w:pPr>
          </w:p>
        </w:tc>
        <w:tc>
          <w:tcPr>
            <w:tcW w:w="1530" w:type="dxa"/>
          </w:tcPr>
          <w:p w14:paraId="55C15365" w14:textId="2B0FDB28" w:rsidR="002306F3" w:rsidRDefault="002306F3" w:rsidP="00AA11E4">
            <w:pPr>
              <w:rPr>
                <w:rFonts w:ascii="Arial" w:hAnsi="Arial" w:cs="Arial"/>
                <w:bCs/>
                <w:sz w:val="28"/>
                <w:szCs w:val="28"/>
              </w:rPr>
            </w:pPr>
            <w:r>
              <w:rPr>
                <w:rFonts w:ascii="Arial" w:hAnsi="Arial" w:cs="Arial"/>
                <w:bCs/>
                <w:sz w:val="28"/>
                <w:szCs w:val="28"/>
              </w:rPr>
              <w:t>Revised</w:t>
            </w:r>
          </w:p>
        </w:tc>
        <w:tc>
          <w:tcPr>
            <w:tcW w:w="2297" w:type="dxa"/>
          </w:tcPr>
          <w:p w14:paraId="74A930A4" w14:textId="02E7A9D3" w:rsidR="002306F3" w:rsidRDefault="002306F3" w:rsidP="00AA11E4">
            <w:pPr>
              <w:rPr>
                <w:rFonts w:ascii="Arial" w:hAnsi="Arial" w:cs="Arial"/>
                <w:bCs/>
                <w:sz w:val="28"/>
                <w:szCs w:val="28"/>
              </w:rPr>
            </w:pPr>
            <w:r>
              <w:rPr>
                <w:rFonts w:ascii="Arial" w:hAnsi="Arial" w:cs="Arial"/>
                <w:bCs/>
                <w:sz w:val="28"/>
                <w:szCs w:val="28"/>
              </w:rPr>
              <w:t>7 February 2022</w:t>
            </w:r>
          </w:p>
        </w:tc>
        <w:tc>
          <w:tcPr>
            <w:tcW w:w="3402" w:type="dxa"/>
          </w:tcPr>
          <w:p w14:paraId="19BBF373" w14:textId="72769BE3" w:rsidR="002306F3" w:rsidRPr="00367A18" w:rsidRDefault="002306F3" w:rsidP="00AA11E4">
            <w:pPr>
              <w:rPr>
                <w:rFonts w:ascii="Arial" w:hAnsi="Arial" w:cs="Arial"/>
                <w:bCs/>
                <w:sz w:val="28"/>
                <w:szCs w:val="28"/>
              </w:rPr>
            </w:pPr>
            <w:r w:rsidRPr="002306F3">
              <w:rPr>
                <w:rFonts w:ascii="Arial" w:hAnsi="Arial" w:cs="Arial"/>
                <w:bCs/>
                <w:sz w:val="28"/>
                <w:szCs w:val="28"/>
              </w:rPr>
              <w:t>This procedure is applicable to all students regardless of their section 75 categories.  There is no impact.  All students will be treated equally.  The process outlines what action is necessary should disciplinary action be necessary.</w:t>
            </w:r>
          </w:p>
        </w:tc>
      </w:tr>
      <w:tr w:rsidR="008B584B" w:rsidRPr="00F60C72" w14:paraId="46D3905B" w14:textId="77777777" w:rsidTr="00F60C72">
        <w:tc>
          <w:tcPr>
            <w:tcW w:w="2689" w:type="dxa"/>
          </w:tcPr>
          <w:p w14:paraId="24967EEE" w14:textId="50B230BD" w:rsidR="008B584B" w:rsidRPr="008B584B" w:rsidRDefault="008B584B" w:rsidP="008B584B">
            <w:pPr>
              <w:rPr>
                <w:rFonts w:ascii="Arial" w:hAnsi="Arial" w:cs="Arial"/>
                <w:sz w:val="28"/>
                <w:szCs w:val="28"/>
              </w:rPr>
            </w:pPr>
            <w:r w:rsidRPr="008B584B">
              <w:rPr>
                <w:rFonts w:ascii="Arial" w:hAnsi="Arial" w:cs="Arial"/>
                <w:sz w:val="28"/>
                <w:szCs w:val="28"/>
              </w:rPr>
              <w:t>UK GDPR Guide to Photography/ Videography</w:t>
            </w:r>
          </w:p>
        </w:tc>
        <w:tc>
          <w:tcPr>
            <w:tcW w:w="5583" w:type="dxa"/>
          </w:tcPr>
          <w:p w14:paraId="3D55D092" w14:textId="2A25B247" w:rsidR="008B584B" w:rsidRPr="008B584B" w:rsidRDefault="008B584B" w:rsidP="008B584B">
            <w:pPr>
              <w:rPr>
                <w:rFonts w:ascii="Arial" w:eastAsia="Times New Roman" w:hAnsi="Arial" w:cs="Arial"/>
                <w:sz w:val="28"/>
                <w:szCs w:val="28"/>
              </w:rPr>
            </w:pPr>
            <w:r w:rsidRPr="008B584B">
              <w:rPr>
                <w:rFonts w:ascii="Arial" w:eastAsia="Times New Roman" w:hAnsi="Arial" w:cs="Arial"/>
                <w:sz w:val="28"/>
                <w:szCs w:val="28"/>
              </w:rPr>
              <w:t xml:space="preserve">The policy aims to assist staff in the correct application of data protection regulations when taking photographs or videos.  The College changed its lawful basis for processing images from consent to Legitimate Interests during the 19/20 </w:t>
            </w:r>
            <w:r w:rsidRPr="008B584B">
              <w:rPr>
                <w:rFonts w:ascii="Arial" w:eastAsia="Times New Roman" w:hAnsi="Arial" w:cs="Arial"/>
                <w:sz w:val="28"/>
                <w:szCs w:val="28"/>
              </w:rPr>
              <w:lastRenderedPageBreak/>
              <w:t>academic year.  The guidance document will ensure the appropriate signage and awareness procedures are carried out by staff when inviting individuals to events etc</w:t>
            </w:r>
            <w:r>
              <w:rPr>
                <w:rFonts w:ascii="Arial" w:eastAsia="Times New Roman" w:hAnsi="Arial" w:cs="Arial"/>
                <w:sz w:val="28"/>
                <w:szCs w:val="28"/>
              </w:rPr>
              <w:t xml:space="preserve">. </w:t>
            </w:r>
            <w:r w:rsidRPr="008B584B">
              <w:rPr>
                <w:rFonts w:ascii="Arial" w:eastAsia="Times New Roman" w:hAnsi="Arial" w:cs="Arial"/>
                <w:sz w:val="28"/>
                <w:szCs w:val="28"/>
              </w:rPr>
              <w:t xml:space="preserve">Minor update to the Guidance document to the email disclaimer. </w:t>
            </w:r>
          </w:p>
          <w:p w14:paraId="3C903D43" w14:textId="77777777" w:rsidR="008B584B" w:rsidRPr="00367A18" w:rsidRDefault="008B584B" w:rsidP="00367A18">
            <w:pPr>
              <w:rPr>
                <w:rFonts w:ascii="Arial" w:eastAsia="Times New Roman" w:hAnsi="Arial" w:cs="Arial"/>
                <w:sz w:val="28"/>
                <w:szCs w:val="28"/>
              </w:rPr>
            </w:pPr>
          </w:p>
        </w:tc>
        <w:tc>
          <w:tcPr>
            <w:tcW w:w="1530" w:type="dxa"/>
          </w:tcPr>
          <w:p w14:paraId="048B1427" w14:textId="0064BCAC" w:rsidR="008B584B" w:rsidRDefault="008B584B" w:rsidP="00AA11E4">
            <w:pPr>
              <w:rPr>
                <w:rFonts w:ascii="Arial" w:hAnsi="Arial" w:cs="Arial"/>
                <w:bCs/>
                <w:sz w:val="28"/>
                <w:szCs w:val="28"/>
              </w:rPr>
            </w:pPr>
            <w:r>
              <w:rPr>
                <w:rFonts w:ascii="Arial" w:hAnsi="Arial" w:cs="Arial"/>
                <w:bCs/>
                <w:sz w:val="28"/>
                <w:szCs w:val="28"/>
              </w:rPr>
              <w:lastRenderedPageBreak/>
              <w:t>Revised</w:t>
            </w:r>
          </w:p>
        </w:tc>
        <w:tc>
          <w:tcPr>
            <w:tcW w:w="2297" w:type="dxa"/>
          </w:tcPr>
          <w:p w14:paraId="6690C35A" w14:textId="216637F6" w:rsidR="008B584B" w:rsidRDefault="008B584B" w:rsidP="00AA11E4">
            <w:pPr>
              <w:rPr>
                <w:rFonts w:ascii="Arial" w:hAnsi="Arial" w:cs="Arial"/>
                <w:bCs/>
                <w:sz w:val="28"/>
                <w:szCs w:val="28"/>
              </w:rPr>
            </w:pPr>
            <w:r>
              <w:rPr>
                <w:rFonts w:ascii="Arial" w:hAnsi="Arial" w:cs="Arial"/>
                <w:bCs/>
                <w:sz w:val="28"/>
                <w:szCs w:val="28"/>
              </w:rPr>
              <w:t>9 February 2022</w:t>
            </w:r>
          </w:p>
        </w:tc>
        <w:tc>
          <w:tcPr>
            <w:tcW w:w="3402" w:type="dxa"/>
          </w:tcPr>
          <w:p w14:paraId="1EE177DD" w14:textId="77777777" w:rsidR="008B584B" w:rsidRPr="008B584B" w:rsidRDefault="008B584B" w:rsidP="008B584B">
            <w:pPr>
              <w:rPr>
                <w:rFonts w:ascii="Arial" w:hAnsi="Arial" w:cs="Arial"/>
                <w:bCs/>
                <w:sz w:val="28"/>
                <w:szCs w:val="28"/>
              </w:rPr>
            </w:pPr>
            <w:r w:rsidRPr="008B584B">
              <w:rPr>
                <w:rFonts w:ascii="Arial" w:hAnsi="Arial" w:cs="Arial"/>
                <w:bCs/>
                <w:sz w:val="28"/>
                <w:szCs w:val="28"/>
              </w:rPr>
              <w:t>None as this policy has no adverse impact on any of the s.75 categories</w:t>
            </w:r>
          </w:p>
          <w:p w14:paraId="5AA353D2" w14:textId="77777777" w:rsidR="008B584B" w:rsidRPr="00367A18" w:rsidRDefault="008B584B" w:rsidP="00AA11E4">
            <w:pPr>
              <w:rPr>
                <w:rFonts w:ascii="Arial" w:hAnsi="Arial" w:cs="Arial"/>
                <w:bCs/>
                <w:sz w:val="28"/>
                <w:szCs w:val="28"/>
              </w:rPr>
            </w:pPr>
          </w:p>
        </w:tc>
      </w:tr>
      <w:tr w:rsidR="0092109B" w:rsidRPr="0092109B" w14:paraId="2C1DB237" w14:textId="77777777" w:rsidTr="0092109B">
        <w:trPr>
          <w:tblHeader/>
        </w:trPr>
        <w:tc>
          <w:tcPr>
            <w:tcW w:w="2689" w:type="dxa"/>
            <w:shd w:val="clear" w:color="auto" w:fill="auto"/>
          </w:tcPr>
          <w:p w14:paraId="783E2EA5" w14:textId="127CA546" w:rsidR="0092109B" w:rsidRPr="0092109B" w:rsidRDefault="0092109B" w:rsidP="00034655">
            <w:pPr>
              <w:rPr>
                <w:rFonts w:ascii="Arial" w:hAnsi="Arial" w:cs="Arial"/>
                <w:bCs/>
                <w:sz w:val="28"/>
                <w:szCs w:val="28"/>
              </w:rPr>
            </w:pPr>
            <w:r>
              <w:rPr>
                <w:rFonts w:ascii="Arial" w:hAnsi="Arial" w:cs="Arial"/>
                <w:bCs/>
                <w:sz w:val="28"/>
                <w:szCs w:val="28"/>
              </w:rPr>
              <w:t>Student Audio Recording Policy</w:t>
            </w:r>
          </w:p>
        </w:tc>
        <w:tc>
          <w:tcPr>
            <w:tcW w:w="5583" w:type="dxa"/>
            <w:shd w:val="clear" w:color="auto" w:fill="auto"/>
          </w:tcPr>
          <w:p w14:paraId="6FA13FA2" w14:textId="77777777" w:rsidR="0092109B" w:rsidRPr="0092109B" w:rsidRDefault="0092109B" w:rsidP="0092109B">
            <w:pPr>
              <w:rPr>
                <w:rFonts w:ascii="Arial" w:hAnsi="Arial" w:cs="Arial"/>
                <w:bCs/>
                <w:sz w:val="28"/>
                <w:szCs w:val="28"/>
              </w:rPr>
            </w:pPr>
            <w:r w:rsidRPr="0092109B">
              <w:rPr>
                <w:rFonts w:ascii="Arial" w:hAnsi="Arial" w:cs="Arial"/>
                <w:bCs/>
                <w:sz w:val="28"/>
                <w:szCs w:val="28"/>
              </w:rPr>
              <w:t>This policy is in place to enable students with additional needs/disabilities to record lessons, where suitable, under reasonable adjustments. The aim is to promote accessibility for students with additional needs and disabilities.</w:t>
            </w:r>
          </w:p>
          <w:p w14:paraId="04906668" w14:textId="77777777" w:rsidR="0092109B" w:rsidRPr="0092109B" w:rsidRDefault="0092109B" w:rsidP="00034655">
            <w:pPr>
              <w:rPr>
                <w:rFonts w:ascii="Arial" w:hAnsi="Arial" w:cs="Arial"/>
                <w:bCs/>
                <w:sz w:val="28"/>
                <w:szCs w:val="28"/>
              </w:rPr>
            </w:pPr>
          </w:p>
        </w:tc>
        <w:tc>
          <w:tcPr>
            <w:tcW w:w="1530" w:type="dxa"/>
            <w:shd w:val="clear" w:color="auto" w:fill="auto"/>
          </w:tcPr>
          <w:p w14:paraId="32B55E00" w14:textId="0F07D0FD" w:rsidR="0092109B" w:rsidRPr="0092109B" w:rsidRDefault="0092109B" w:rsidP="00034655">
            <w:pPr>
              <w:rPr>
                <w:rFonts w:ascii="Arial" w:hAnsi="Arial" w:cs="Arial"/>
                <w:bCs/>
                <w:sz w:val="28"/>
                <w:szCs w:val="28"/>
              </w:rPr>
            </w:pPr>
            <w:r>
              <w:rPr>
                <w:rFonts w:ascii="Arial" w:hAnsi="Arial" w:cs="Arial"/>
                <w:bCs/>
                <w:sz w:val="28"/>
                <w:szCs w:val="28"/>
              </w:rPr>
              <w:t>Existing</w:t>
            </w:r>
          </w:p>
        </w:tc>
        <w:tc>
          <w:tcPr>
            <w:tcW w:w="2297" w:type="dxa"/>
            <w:shd w:val="clear" w:color="auto" w:fill="auto"/>
          </w:tcPr>
          <w:p w14:paraId="72E40502" w14:textId="5790BF8A" w:rsidR="0092109B" w:rsidRPr="0092109B" w:rsidRDefault="0092109B" w:rsidP="00034655">
            <w:pPr>
              <w:rPr>
                <w:rFonts w:ascii="Arial" w:hAnsi="Arial" w:cs="Arial"/>
                <w:bCs/>
                <w:sz w:val="28"/>
                <w:szCs w:val="28"/>
              </w:rPr>
            </w:pPr>
            <w:r>
              <w:rPr>
                <w:rFonts w:ascii="Arial" w:hAnsi="Arial" w:cs="Arial"/>
                <w:bCs/>
                <w:sz w:val="28"/>
                <w:szCs w:val="28"/>
              </w:rPr>
              <w:t>14 February 2022</w:t>
            </w:r>
          </w:p>
        </w:tc>
        <w:tc>
          <w:tcPr>
            <w:tcW w:w="3402" w:type="dxa"/>
            <w:shd w:val="clear" w:color="auto" w:fill="auto"/>
          </w:tcPr>
          <w:p w14:paraId="30A103DB" w14:textId="062F2077" w:rsidR="0092109B" w:rsidRPr="0092109B" w:rsidRDefault="0092109B" w:rsidP="00034655">
            <w:pPr>
              <w:rPr>
                <w:rFonts w:ascii="Arial" w:hAnsi="Arial" w:cs="Arial"/>
                <w:bCs/>
                <w:sz w:val="28"/>
                <w:szCs w:val="28"/>
              </w:rPr>
            </w:pPr>
            <w:r>
              <w:rPr>
                <w:rFonts w:ascii="Arial" w:hAnsi="Arial" w:cs="Arial"/>
                <w:bCs/>
                <w:sz w:val="28"/>
                <w:szCs w:val="28"/>
              </w:rPr>
              <w:t>E</w:t>
            </w:r>
            <w:r w:rsidRPr="0092109B">
              <w:rPr>
                <w:rFonts w:ascii="Arial" w:hAnsi="Arial" w:cs="Arial"/>
                <w:bCs/>
                <w:sz w:val="28"/>
                <w:szCs w:val="28"/>
              </w:rPr>
              <w:t>quality impact assessment is not required as there is no adverse impact on any category.</w:t>
            </w:r>
          </w:p>
        </w:tc>
      </w:tr>
      <w:tr w:rsidR="00073CA3" w:rsidRPr="0092109B" w14:paraId="01A1B479" w14:textId="77777777" w:rsidTr="0092109B">
        <w:trPr>
          <w:tblHeader/>
        </w:trPr>
        <w:tc>
          <w:tcPr>
            <w:tcW w:w="2689" w:type="dxa"/>
            <w:shd w:val="clear" w:color="auto" w:fill="auto"/>
          </w:tcPr>
          <w:p w14:paraId="7BE5134C" w14:textId="0FECE220" w:rsidR="00073CA3" w:rsidRDefault="00073CA3" w:rsidP="00034655">
            <w:pPr>
              <w:rPr>
                <w:rFonts w:ascii="Arial" w:hAnsi="Arial" w:cs="Arial"/>
                <w:bCs/>
                <w:sz w:val="28"/>
                <w:szCs w:val="28"/>
              </w:rPr>
            </w:pPr>
            <w:r>
              <w:rPr>
                <w:rFonts w:ascii="Arial" w:hAnsi="Arial" w:cs="Arial"/>
                <w:bCs/>
                <w:sz w:val="28"/>
                <w:szCs w:val="28"/>
              </w:rPr>
              <w:t>Risk Management Policy</w:t>
            </w:r>
          </w:p>
        </w:tc>
        <w:tc>
          <w:tcPr>
            <w:tcW w:w="5583" w:type="dxa"/>
            <w:shd w:val="clear" w:color="auto" w:fill="auto"/>
          </w:tcPr>
          <w:p w14:paraId="29F5F98A" w14:textId="77777777" w:rsidR="00073CA3" w:rsidRPr="00073CA3" w:rsidRDefault="00073CA3" w:rsidP="00073CA3">
            <w:pPr>
              <w:rPr>
                <w:rFonts w:ascii="Arial" w:hAnsi="Arial" w:cs="Arial"/>
                <w:bCs/>
                <w:sz w:val="28"/>
                <w:szCs w:val="28"/>
              </w:rPr>
            </w:pPr>
            <w:r w:rsidRPr="00073CA3">
              <w:rPr>
                <w:rFonts w:ascii="Arial" w:hAnsi="Arial" w:cs="Arial"/>
                <w:bCs/>
                <w:sz w:val="28"/>
                <w:szCs w:val="28"/>
              </w:rPr>
              <w:t xml:space="preserve">This risk management policy forms part of the College’s internal control and corporate governance arrangements.  It explains the College’s underlying approach to risk management, whilst documenting the roles and responsibilities of the Governing Body, Senior Management, and other key parties. </w:t>
            </w:r>
          </w:p>
          <w:p w14:paraId="1E22541B" w14:textId="77777777" w:rsidR="00073CA3" w:rsidRPr="0092109B" w:rsidRDefault="00073CA3" w:rsidP="0092109B">
            <w:pPr>
              <w:rPr>
                <w:rFonts w:ascii="Arial" w:hAnsi="Arial" w:cs="Arial"/>
                <w:bCs/>
                <w:sz w:val="28"/>
                <w:szCs w:val="28"/>
              </w:rPr>
            </w:pPr>
          </w:p>
        </w:tc>
        <w:tc>
          <w:tcPr>
            <w:tcW w:w="1530" w:type="dxa"/>
            <w:shd w:val="clear" w:color="auto" w:fill="auto"/>
          </w:tcPr>
          <w:p w14:paraId="26014F46" w14:textId="0DBAD0D2" w:rsidR="00073CA3" w:rsidRDefault="00073CA3" w:rsidP="00034655">
            <w:pPr>
              <w:rPr>
                <w:rFonts w:ascii="Arial" w:hAnsi="Arial" w:cs="Arial"/>
                <w:bCs/>
                <w:sz w:val="28"/>
                <w:szCs w:val="28"/>
              </w:rPr>
            </w:pPr>
            <w:r>
              <w:rPr>
                <w:rFonts w:ascii="Arial" w:hAnsi="Arial" w:cs="Arial"/>
                <w:bCs/>
                <w:sz w:val="28"/>
                <w:szCs w:val="28"/>
              </w:rPr>
              <w:t>Revised</w:t>
            </w:r>
          </w:p>
        </w:tc>
        <w:tc>
          <w:tcPr>
            <w:tcW w:w="2297" w:type="dxa"/>
            <w:shd w:val="clear" w:color="auto" w:fill="auto"/>
          </w:tcPr>
          <w:p w14:paraId="1B4B0480" w14:textId="473B8CD3" w:rsidR="00073CA3" w:rsidRDefault="00073CA3" w:rsidP="00034655">
            <w:pPr>
              <w:rPr>
                <w:rFonts w:ascii="Arial" w:hAnsi="Arial" w:cs="Arial"/>
                <w:bCs/>
                <w:sz w:val="28"/>
                <w:szCs w:val="28"/>
              </w:rPr>
            </w:pPr>
            <w:r>
              <w:rPr>
                <w:rFonts w:ascii="Arial" w:hAnsi="Arial" w:cs="Arial"/>
                <w:bCs/>
                <w:sz w:val="28"/>
                <w:szCs w:val="28"/>
              </w:rPr>
              <w:t>14 February 2022</w:t>
            </w:r>
          </w:p>
        </w:tc>
        <w:tc>
          <w:tcPr>
            <w:tcW w:w="3402" w:type="dxa"/>
            <w:shd w:val="clear" w:color="auto" w:fill="auto"/>
          </w:tcPr>
          <w:p w14:paraId="27F874B3" w14:textId="6D7EC892" w:rsidR="00073CA3" w:rsidRDefault="00073CA3" w:rsidP="00034655">
            <w:pPr>
              <w:rPr>
                <w:rFonts w:ascii="Arial" w:hAnsi="Arial" w:cs="Arial"/>
                <w:bCs/>
                <w:sz w:val="28"/>
                <w:szCs w:val="28"/>
              </w:rPr>
            </w:pPr>
            <w:r w:rsidRPr="00073CA3">
              <w:rPr>
                <w:rFonts w:ascii="Arial" w:hAnsi="Arial" w:cs="Arial"/>
                <w:bCs/>
                <w:sz w:val="28"/>
                <w:szCs w:val="28"/>
              </w:rPr>
              <w:t>No impact on any of the Section 75 equality categories</w:t>
            </w:r>
          </w:p>
        </w:tc>
      </w:tr>
      <w:tr w:rsidR="00A259A7" w:rsidRPr="0092109B" w14:paraId="439E9D80" w14:textId="77777777" w:rsidTr="0092109B">
        <w:trPr>
          <w:tblHeader/>
        </w:trPr>
        <w:tc>
          <w:tcPr>
            <w:tcW w:w="2689" w:type="dxa"/>
            <w:shd w:val="clear" w:color="auto" w:fill="auto"/>
          </w:tcPr>
          <w:p w14:paraId="66C54508" w14:textId="63303CC2" w:rsidR="00A259A7" w:rsidRDefault="00A259A7" w:rsidP="00034655">
            <w:pPr>
              <w:rPr>
                <w:rFonts w:ascii="Arial" w:hAnsi="Arial" w:cs="Arial"/>
                <w:bCs/>
                <w:sz w:val="28"/>
                <w:szCs w:val="28"/>
              </w:rPr>
            </w:pPr>
            <w:r>
              <w:rPr>
                <w:rFonts w:ascii="Arial" w:hAnsi="Arial" w:cs="Arial"/>
                <w:bCs/>
                <w:sz w:val="28"/>
                <w:szCs w:val="28"/>
              </w:rPr>
              <w:t>Fees and Charges Policy</w:t>
            </w:r>
          </w:p>
        </w:tc>
        <w:tc>
          <w:tcPr>
            <w:tcW w:w="5583" w:type="dxa"/>
            <w:shd w:val="clear" w:color="auto" w:fill="auto"/>
          </w:tcPr>
          <w:p w14:paraId="1CBB5D4E" w14:textId="3B62BAC9" w:rsidR="00A259A7" w:rsidRPr="00A259A7" w:rsidRDefault="00A259A7" w:rsidP="00A259A7">
            <w:pPr>
              <w:rPr>
                <w:rFonts w:ascii="Arial" w:hAnsi="Arial" w:cs="Arial"/>
                <w:bCs/>
                <w:sz w:val="28"/>
                <w:szCs w:val="28"/>
              </w:rPr>
            </w:pPr>
            <w:r w:rsidRPr="00A259A7">
              <w:rPr>
                <w:rFonts w:ascii="Arial" w:hAnsi="Arial" w:cs="Arial"/>
                <w:bCs/>
                <w:sz w:val="28"/>
                <w:szCs w:val="28"/>
              </w:rPr>
              <w:t>The purpose of this Fees and Charges Policy is to</w:t>
            </w:r>
            <w:r>
              <w:rPr>
                <w:rFonts w:ascii="Arial" w:hAnsi="Arial" w:cs="Arial"/>
                <w:bCs/>
                <w:sz w:val="28"/>
                <w:szCs w:val="28"/>
              </w:rPr>
              <w:t xml:space="preserve"> o</w:t>
            </w:r>
            <w:r w:rsidRPr="00A259A7">
              <w:rPr>
                <w:rFonts w:ascii="Arial" w:hAnsi="Arial" w:cs="Arial"/>
                <w:bCs/>
                <w:sz w:val="28"/>
                <w:szCs w:val="28"/>
              </w:rPr>
              <w:t xml:space="preserve">perate fees and charges for the provision of appropriate educational facilities and services so as to recoup a </w:t>
            </w:r>
            <w:r w:rsidRPr="00A259A7">
              <w:rPr>
                <w:rFonts w:ascii="Arial" w:hAnsi="Arial" w:cs="Arial"/>
                <w:bCs/>
                <w:sz w:val="28"/>
                <w:szCs w:val="28"/>
              </w:rPr>
              <w:lastRenderedPageBreak/>
              <w:t xml:space="preserve">reasonable proportion of expenditure while acting in a fair and equitable manner towards existing and prospective students and other customers. </w:t>
            </w:r>
          </w:p>
          <w:p w14:paraId="38F620F8" w14:textId="77777777" w:rsidR="00A259A7" w:rsidRPr="00073CA3" w:rsidRDefault="00A259A7" w:rsidP="00073CA3">
            <w:pPr>
              <w:rPr>
                <w:rFonts w:ascii="Arial" w:hAnsi="Arial" w:cs="Arial"/>
                <w:bCs/>
                <w:sz w:val="28"/>
                <w:szCs w:val="28"/>
              </w:rPr>
            </w:pPr>
          </w:p>
        </w:tc>
        <w:tc>
          <w:tcPr>
            <w:tcW w:w="1530" w:type="dxa"/>
            <w:shd w:val="clear" w:color="auto" w:fill="auto"/>
          </w:tcPr>
          <w:p w14:paraId="555B947F" w14:textId="07176908" w:rsidR="00A259A7" w:rsidRDefault="00A259A7" w:rsidP="00034655">
            <w:pPr>
              <w:rPr>
                <w:rFonts w:ascii="Arial" w:hAnsi="Arial" w:cs="Arial"/>
                <w:bCs/>
                <w:sz w:val="28"/>
                <w:szCs w:val="28"/>
              </w:rPr>
            </w:pPr>
            <w:r>
              <w:rPr>
                <w:rFonts w:ascii="Arial" w:hAnsi="Arial" w:cs="Arial"/>
                <w:bCs/>
                <w:sz w:val="28"/>
                <w:szCs w:val="28"/>
              </w:rPr>
              <w:lastRenderedPageBreak/>
              <w:t>Revised</w:t>
            </w:r>
          </w:p>
        </w:tc>
        <w:tc>
          <w:tcPr>
            <w:tcW w:w="2297" w:type="dxa"/>
            <w:shd w:val="clear" w:color="auto" w:fill="auto"/>
          </w:tcPr>
          <w:p w14:paraId="355CB423" w14:textId="6046DFBD" w:rsidR="00A259A7" w:rsidRDefault="00A259A7" w:rsidP="00034655">
            <w:pPr>
              <w:rPr>
                <w:rFonts w:ascii="Arial" w:hAnsi="Arial" w:cs="Arial"/>
                <w:bCs/>
                <w:sz w:val="28"/>
                <w:szCs w:val="28"/>
              </w:rPr>
            </w:pPr>
            <w:r>
              <w:rPr>
                <w:rFonts w:ascii="Arial" w:hAnsi="Arial" w:cs="Arial"/>
                <w:bCs/>
                <w:sz w:val="28"/>
                <w:szCs w:val="28"/>
              </w:rPr>
              <w:t>24 February 2022</w:t>
            </w:r>
          </w:p>
        </w:tc>
        <w:tc>
          <w:tcPr>
            <w:tcW w:w="3402" w:type="dxa"/>
            <w:shd w:val="clear" w:color="auto" w:fill="auto"/>
          </w:tcPr>
          <w:p w14:paraId="4077810D" w14:textId="6101D1E0" w:rsidR="00A259A7" w:rsidRPr="00073CA3" w:rsidRDefault="00A259A7" w:rsidP="00034655">
            <w:pPr>
              <w:rPr>
                <w:rFonts w:ascii="Arial" w:hAnsi="Arial" w:cs="Arial"/>
                <w:bCs/>
                <w:sz w:val="28"/>
                <w:szCs w:val="28"/>
              </w:rPr>
            </w:pPr>
            <w:r w:rsidRPr="00A259A7">
              <w:rPr>
                <w:rFonts w:ascii="Arial" w:hAnsi="Arial" w:cs="Arial"/>
                <w:bCs/>
                <w:sz w:val="28"/>
                <w:szCs w:val="28"/>
              </w:rPr>
              <w:t>No impact on any of the Section 75 equality categories</w:t>
            </w:r>
          </w:p>
        </w:tc>
      </w:tr>
      <w:tr w:rsidR="00BC09FB" w:rsidRPr="005D1ACB" w14:paraId="5B926BE0" w14:textId="77777777" w:rsidTr="005D1ACB">
        <w:tc>
          <w:tcPr>
            <w:tcW w:w="2689" w:type="dxa"/>
          </w:tcPr>
          <w:p w14:paraId="2F05890F" w14:textId="1104F205" w:rsidR="00BC09FB" w:rsidRDefault="00BC09FB" w:rsidP="00BC09FB">
            <w:pPr>
              <w:rPr>
                <w:rFonts w:ascii="Arial" w:hAnsi="Arial" w:cs="Arial"/>
                <w:sz w:val="28"/>
                <w:szCs w:val="28"/>
              </w:rPr>
            </w:pPr>
            <w:r>
              <w:rPr>
                <w:rFonts w:ascii="Arial" w:hAnsi="Arial" w:cs="Arial"/>
                <w:sz w:val="28"/>
                <w:szCs w:val="28"/>
              </w:rPr>
              <w:t>Guidance on Equality Screening</w:t>
            </w:r>
          </w:p>
        </w:tc>
        <w:tc>
          <w:tcPr>
            <w:tcW w:w="5583" w:type="dxa"/>
          </w:tcPr>
          <w:p w14:paraId="3B84E152" w14:textId="77777777" w:rsidR="00BC09FB" w:rsidRPr="000A75E9" w:rsidRDefault="00BC09FB" w:rsidP="00BC09FB">
            <w:pPr>
              <w:rPr>
                <w:rFonts w:ascii="Arial" w:hAnsi="Arial" w:cs="Arial"/>
                <w:sz w:val="28"/>
                <w:szCs w:val="28"/>
              </w:rPr>
            </w:pPr>
            <w:r w:rsidRPr="000A75E9">
              <w:rPr>
                <w:rFonts w:ascii="Arial" w:hAnsi="Arial" w:cs="Arial"/>
                <w:sz w:val="28"/>
                <w:szCs w:val="28"/>
              </w:rPr>
              <w:t>The aim of the Guidance is to provide clarity to policy makers in the College with regards to screening and EQIA requirements.</w:t>
            </w:r>
          </w:p>
          <w:p w14:paraId="0267C8DD" w14:textId="77777777" w:rsidR="00BC09FB" w:rsidRPr="000A75E9" w:rsidRDefault="00BC09FB" w:rsidP="00BC09FB">
            <w:pPr>
              <w:rPr>
                <w:rFonts w:ascii="Arial" w:hAnsi="Arial" w:cs="Arial"/>
                <w:sz w:val="28"/>
                <w:szCs w:val="28"/>
              </w:rPr>
            </w:pPr>
          </w:p>
        </w:tc>
        <w:tc>
          <w:tcPr>
            <w:tcW w:w="1530" w:type="dxa"/>
          </w:tcPr>
          <w:p w14:paraId="6291738A" w14:textId="7123DC8B" w:rsidR="00BC09FB" w:rsidRDefault="00BC09FB" w:rsidP="00BC09FB">
            <w:pPr>
              <w:rPr>
                <w:rFonts w:ascii="Arial" w:hAnsi="Arial" w:cs="Arial"/>
                <w:sz w:val="28"/>
                <w:szCs w:val="28"/>
              </w:rPr>
            </w:pPr>
            <w:r>
              <w:rPr>
                <w:rFonts w:ascii="Arial" w:hAnsi="Arial" w:cs="Arial"/>
                <w:sz w:val="28"/>
                <w:szCs w:val="28"/>
              </w:rPr>
              <w:t>Existing</w:t>
            </w:r>
          </w:p>
        </w:tc>
        <w:tc>
          <w:tcPr>
            <w:tcW w:w="2297" w:type="dxa"/>
          </w:tcPr>
          <w:p w14:paraId="010A6A41" w14:textId="07D0A893" w:rsidR="00BC09FB" w:rsidRDefault="00BC09FB" w:rsidP="00BC09FB">
            <w:pPr>
              <w:rPr>
                <w:rFonts w:ascii="Arial" w:hAnsi="Arial" w:cs="Arial"/>
                <w:sz w:val="28"/>
                <w:szCs w:val="28"/>
              </w:rPr>
            </w:pPr>
            <w:r>
              <w:rPr>
                <w:rFonts w:ascii="Arial" w:hAnsi="Arial" w:cs="Arial"/>
                <w:sz w:val="28"/>
                <w:szCs w:val="28"/>
              </w:rPr>
              <w:t>3 March 2022</w:t>
            </w:r>
          </w:p>
        </w:tc>
        <w:tc>
          <w:tcPr>
            <w:tcW w:w="3402" w:type="dxa"/>
          </w:tcPr>
          <w:p w14:paraId="079AE010" w14:textId="6ADFCE6A" w:rsidR="00BC09FB" w:rsidRPr="005D1ACB" w:rsidRDefault="00BC09FB" w:rsidP="00BC09FB">
            <w:pPr>
              <w:rPr>
                <w:rFonts w:ascii="Arial" w:hAnsi="Arial" w:cs="Arial"/>
                <w:sz w:val="28"/>
                <w:szCs w:val="28"/>
              </w:rPr>
            </w:pPr>
            <w:r w:rsidRPr="005D1ACB">
              <w:rPr>
                <w:rFonts w:ascii="Arial" w:hAnsi="Arial" w:cs="Arial"/>
                <w:sz w:val="28"/>
                <w:szCs w:val="28"/>
              </w:rPr>
              <w:t xml:space="preserve">No impact </w:t>
            </w:r>
            <w:r w:rsidRPr="000A75E9">
              <w:rPr>
                <w:rFonts w:ascii="Arial" w:hAnsi="Arial" w:cs="Arial"/>
                <w:sz w:val="28"/>
                <w:szCs w:val="28"/>
              </w:rPr>
              <w:t>as guidance is for use when screening decisions at the college</w:t>
            </w:r>
          </w:p>
        </w:tc>
      </w:tr>
      <w:tr w:rsidR="00800A9F" w:rsidRPr="005D1ACB" w14:paraId="143962D1" w14:textId="77777777" w:rsidTr="005D1ACB">
        <w:tc>
          <w:tcPr>
            <w:tcW w:w="2689" w:type="dxa"/>
          </w:tcPr>
          <w:p w14:paraId="2B09D859" w14:textId="00E68B7C" w:rsidR="00800A9F" w:rsidRDefault="00800A9F" w:rsidP="00BC09FB">
            <w:pPr>
              <w:rPr>
                <w:rFonts w:ascii="Arial" w:hAnsi="Arial" w:cs="Arial"/>
                <w:sz w:val="28"/>
                <w:szCs w:val="28"/>
              </w:rPr>
            </w:pPr>
            <w:r>
              <w:rPr>
                <w:rFonts w:ascii="Arial" w:hAnsi="Arial" w:cs="Arial"/>
                <w:sz w:val="28"/>
                <w:szCs w:val="28"/>
              </w:rPr>
              <w:t>Safeguarding Care and Welfare Policy</w:t>
            </w:r>
          </w:p>
        </w:tc>
        <w:tc>
          <w:tcPr>
            <w:tcW w:w="5583" w:type="dxa"/>
          </w:tcPr>
          <w:p w14:paraId="3F3837D8" w14:textId="77777777" w:rsidR="00800A9F" w:rsidRPr="00800A9F" w:rsidRDefault="00800A9F" w:rsidP="00800A9F">
            <w:pPr>
              <w:rPr>
                <w:rFonts w:ascii="Arial" w:hAnsi="Arial" w:cs="Arial"/>
                <w:sz w:val="28"/>
                <w:szCs w:val="28"/>
              </w:rPr>
            </w:pPr>
            <w:r w:rsidRPr="00800A9F">
              <w:rPr>
                <w:rFonts w:ascii="Arial" w:hAnsi="Arial" w:cs="Arial"/>
                <w:sz w:val="28"/>
                <w:szCs w:val="28"/>
              </w:rPr>
              <w:t>The purpose of this policy is to ensure that all students, staff and stakeholders of the College experience an inclusive, enjoyable and safe environment in which they feel respected and valued.  The college shares an objective to keep children, young people, adults at risk and adults in need of protection safe from harm.  This policy is built upon a foundation of zero tolerance of harm to all children, young people, adults at risk and adults in need of protection and is aligned to the Northern Ireland Adult Safeguarding Partnership (NIASP) statement “Safeguarding is everyone’s business”.</w:t>
            </w:r>
          </w:p>
          <w:p w14:paraId="33BDA5C6" w14:textId="77777777" w:rsidR="00800A9F" w:rsidRPr="000A75E9" w:rsidRDefault="00800A9F" w:rsidP="00BC09FB">
            <w:pPr>
              <w:rPr>
                <w:rFonts w:ascii="Arial" w:hAnsi="Arial" w:cs="Arial"/>
                <w:sz w:val="28"/>
                <w:szCs w:val="28"/>
              </w:rPr>
            </w:pPr>
          </w:p>
        </w:tc>
        <w:tc>
          <w:tcPr>
            <w:tcW w:w="1530" w:type="dxa"/>
          </w:tcPr>
          <w:p w14:paraId="0D8D75CC" w14:textId="2CBA2A3D" w:rsidR="00800A9F" w:rsidRDefault="00800A9F" w:rsidP="00BC09FB">
            <w:pPr>
              <w:rPr>
                <w:rFonts w:ascii="Arial" w:hAnsi="Arial" w:cs="Arial"/>
                <w:sz w:val="28"/>
                <w:szCs w:val="28"/>
              </w:rPr>
            </w:pPr>
            <w:r>
              <w:rPr>
                <w:rFonts w:ascii="Arial" w:hAnsi="Arial" w:cs="Arial"/>
                <w:sz w:val="28"/>
                <w:szCs w:val="28"/>
              </w:rPr>
              <w:t>Existing</w:t>
            </w:r>
          </w:p>
        </w:tc>
        <w:tc>
          <w:tcPr>
            <w:tcW w:w="2297" w:type="dxa"/>
          </w:tcPr>
          <w:p w14:paraId="06ECD6EC" w14:textId="12A655D7" w:rsidR="00800A9F" w:rsidRDefault="00800A9F" w:rsidP="00BC09FB">
            <w:pPr>
              <w:rPr>
                <w:rFonts w:ascii="Arial" w:hAnsi="Arial" w:cs="Arial"/>
                <w:sz w:val="28"/>
                <w:szCs w:val="28"/>
              </w:rPr>
            </w:pPr>
            <w:r>
              <w:rPr>
                <w:rFonts w:ascii="Arial" w:hAnsi="Arial" w:cs="Arial"/>
                <w:sz w:val="28"/>
                <w:szCs w:val="28"/>
              </w:rPr>
              <w:t>9 March 2022</w:t>
            </w:r>
          </w:p>
        </w:tc>
        <w:tc>
          <w:tcPr>
            <w:tcW w:w="3402" w:type="dxa"/>
          </w:tcPr>
          <w:p w14:paraId="46FDDDF9" w14:textId="7AA3465E" w:rsidR="00800A9F" w:rsidRPr="005D1ACB" w:rsidRDefault="00800A9F" w:rsidP="00BC09FB">
            <w:pPr>
              <w:rPr>
                <w:rFonts w:ascii="Arial" w:hAnsi="Arial" w:cs="Arial"/>
                <w:sz w:val="28"/>
                <w:szCs w:val="28"/>
              </w:rPr>
            </w:pPr>
            <w:r w:rsidRPr="00800A9F">
              <w:rPr>
                <w:rFonts w:ascii="Arial" w:hAnsi="Arial" w:cs="Arial"/>
                <w:sz w:val="28"/>
                <w:szCs w:val="28"/>
              </w:rPr>
              <w:t>The policy is for all staff regardless of any of the section 75 equality categories. No-one will have an adverse impact by it being implemented.  It is to ensure students whether they are young children, young people, adults at risk and adults in need of protection can be educated in a safe environment</w:t>
            </w:r>
          </w:p>
        </w:tc>
      </w:tr>
      <w:tr w:rsidR="00557DCC" w:rsidRPr="005D1ACB" w14:paraId="6A2133BA" w14:textId="77777777" w:rsidTr="00861FB8">
        <w:tc>
          <w:tcPr>
            <w:tcW w:w="2689" w:type="dxa"/>
          </w:tcPr>
          <w:p w14:paraId="5401361C" w14:textId="77777777" w:rsidR="00557DCC" w:rsidRDefault="00557DCC" w:rsidP="00861FB8">
            <w:pPr>
              <w:rPr>
                <w:rFonts w:ascii="Arial" w:hAnsi="Arial" w:cs="Arial"/>
                <w:sz w:val="28"/>
                <w:szCs w:val="28"/>
              </w:rPr>
            </w:pPr>
            <w:r>
              <w:rPr>
                <w:rFonts w:ascii="Arial" w:hAnsi="Arial" w:cs="Arial"/>
                <w:sz w:val="28"/>
                <w:szCs w:val="28"/>
              </w:rPr>
              <w:lastRenderedPageBreak/>
              <w:t>Admissions and Enrolments Policy</w:t>
            </w:r>
          </w:p>
        </w:tc>
        <w:tc>
          <w:tcPr>
            <w:tcW w:w="5583" w:type="dxa"/>
          </w:tcPr>
          <w:p w14:paraId="4D85AA89" w14:textId="77777777" w:rsidR="00557DCC" w:rsidRPr="005B1BF4" w:rsidRDefault="00557DCC" w:rsidP="00861FB8">
            <w:pPr>
              <w:rPr>
                <w:rFonts w:ascii="Arial" w:hAnsi="Arial" w:cs="Arial"/>
                <w:sz w:val="28"/>
                <w:szCs w:val="28"/>
              </w:rPr>
            </w:pPr>
            <w:r w:rsidRPr="00557DCC">
              <w:rPr>
                <w:rFonts w:ascii="Arial" w:hAnsi="Arial" w:cs="Arial"/>
                <w:sz w:val="28"/>
                <w:szCs w:val="28"/>
              </w:rPr>
              <w:t>The aim of this Policy is to provide an admissions framework which ensures applicants access the course most suitable to them, and to ensure that applicants are treated solely on the basis of their merits, ability and potential, thereby providing a fair and equitable process for all. The College aims to provide comprehensive, accurate, user-friendly information and advice to applicants in the admissions process. This is to enable an informed choice of course to be made appropriate to their interests, academic qualifications and potential.</w:t>
            </w:r>
          </w:p>
        </w:tc>
        <w:tc>
          <w:tcPr>
            <w:tcW w:w="1530" w:type="dxa"/>
          </w:tcPr>
          <w:p w14:paraId="1BEC25DC" w14:textId="77777777" w:rsidR="00557DCC" w:rsidRDefault="00557DCC" w:rsidP="00861FB8">
            <w:pPr>
              <w:rPr>
                <w:rFonts w:ascii="Arial" w:hAnsi="Arial" w:cs="Arial"/>
                <w:sz w:val="28"/>
                <w:szCs w:val="28"/>
              </w:rPr>
            </w:pPr>
            <w:r>
              <w:rPr>
                <w:rFonts w:ascii="Arial" w:hAnsi="Arial" w:cs="Arial"/>
                <w:sz w:val="28"/>
                <w:szCs w:val="28"/>
              </w:rPr>
              <w:t>Existing</w:t>
            </w:r>
          </w:p>
        </w:tc>
        <w:tc>
          <w:tcPr>
            <w:tcW w:w="2297" w:type="dxa"/>
          </w:tcPr>
          <w:p w14:paraId="4D752577" w14:textId="77777777" w:rsidR="00557DCC" w:rsidRDefault="00557DCC" w:rsidP="00861FB8">
            <w:pPr>
              <w:rPr>
                <w:rFonts w:ascii="Arial" w:hAnsi="Arial" w:cs="Arial"/>
                <w:sz w:val="28"/>
                <w:szCs w:val="28"/>
              </w:rPr>
            </w:pPr>
            <w:r>
              <w:rPr>
                <w:rFonts w:ascii="Arial" w:hAnsi="Arial" w:cs="Arial"/>
                <w:sz w:val="28"/>
                <w:szCs w:val="28"/>
              </w:rPr>
              <w:t>11 March 2022</w:t>
            </w:r>
          </w:p>
        </w:tc>
        <w:tc>
          <w:tcPr>
            <w:tcW w:w="3402" w:type="dxa"/>
          </w:tcPr>
          <w:p w14:paraId="222B1715" w14:textId="77777777" w:rsidR="00557DCC" w:rsidRDefault="00557DCC" w:rsidP="00861FB8">
            <w:pPr>
              <w:rPr>
                <w:rFonts w:ascii="Arial" w:hAnsi="Arial" w:cs="Arial"/>
                <w:sz w:val="28"/>
                <w:szCs w:val="28"/>
              </w:rPr>
            </w:pPr>
            <w:r w:rsidRPr="00557DCC">
              <w:rPr>
                <w:rFonts w:ascii="Arial" w:hAnsi="Arial" w:cs="Arial"/>
                <w:sz w:val="28"/>
                <w:szCs w:val="28"/>
              </w:rPr>
              <w:t>Policy has no adverse impact on any of the equality categories. The policy aims to provide guidance on the enrolment of all students, regardless of religious belief, political opinion, racial group, age, marital status, sexual orientation, gender, disability or whether they have dependants.  The policy itself can be provided in alternative formats where required to assist those whose first language is not English and those who have a disability</w:t>
            </w:r>
            <w:r w:rsidRPr="00557DCC">
              <w:rPr>
                <w:rFonts w:ascii="Arial" w:hAnsi="Arial" w:cs="Arial"/>
                <w:sz w:val="28"/>
                <w:szCs w:val="28"/>
              </w:rPr>
              <w:tab/>
            </w:r>
          </w:p>
        </w:tc>
      </w:tr>
      <w:tr w:rsidR="00012937" w:rsidRPr="005D1ACB" w14:paraId="627CA002" w14:textId="77777777" w:rsidTr="005D1ACB">
        <w:tc>
          <w:tcPr>
            <w:tcW w:w="2689" w:type="dxa"/>
          </w:tcPr>
          <w:p w14:paraId="183200C1" w14:textId="067EDC04" w:rsidR="00012937" w:rsidRDefault="00012937" w:rsidP="00BC09FB">
            <w:pPr>
              <w:rPr>
                <w:rFonts w:ascii="Arial" w:hAnsi="Arial" w:cs="Arial"/>
                <w:sz w:val="28"/>
                <w:szCs w:val="28"/>
              </w:rPr>
            </w:pPr>
            <w:r>
              <w:rPr>
                <w:rFonts w:ascii="Arial" w:hAnsi="Arial" w:cs="Arial"/>
                <w:sz w:val="28"/>
                <w:szCs w:val="28"/>
              </w:rPr>
              <w:t>Fire Safety Policy</w:t>
            </w:r>
          </w:p>
        </w:tc>
        <w:tc>
          <w:tcPr>
            <w:tcW w:w="5583" w:type="dxa"/>
          </w:tcPr>
          <w:p w14:paraId="5153B1DF" w14:textId="48988820" w:rsidR="00012937" w:rsidRPr="00800A9F" w:rsidRDefault="00012937" w:rsidP="00012937">
            <w:pPr>
              <w:rPr>
                <w:rFonts w:ascii="Arial" w:hAnsi="Arial" w:cs="Arial"/>
                <w:sz w:val="28"/>
                <w:szCs w:val="28"/>
              </w:rPr>
            </w:pPr>
            <w:r w:rsidRPr="00012937">
              <w:rPr>
                <w:rFonts w:ascii="Arial" w:hAnsi="Arial" w:cs="Arial"/>
                <w:sz w:val="28"/>
                <w:szCs w:val="28"/>
              </w:rPr>
              <w:t>The purpose of this policy is to</w:t>
            </w:r>
            <w:r>
              <w:rPr>
                <w:rFonts w:ascii="Arial" w:hAnsi="Arial" w:cs="Arial"/>
                <w:sz w:val="28"/>
                <w:szCs w:val="28"/>
              </w:rPr>
              <w:t xml:space="preserve"> e</w:t>
            </w:r>
            <w:r w:rsidRPr="00012937">
              <w:rPr>
                <w:rFonts w:ascii="Arial" w:hAnsi="Arial" w:cs="Arial"/>
                <w:sz w:val="28"/>
                <w:szCs w:val="28"/>
              </w:rPr>
              <w:t>nsure that the College complies with all current legislation.  To manage the safe evacuation of all staff/students in the event of an emergency/fire.</w:t>
            </w:r>
          </w:p>
        </w:tc>
        <w:tc>
          <w:tcPr>
            <w:tcW w:w="1530" w:type="dxa"/>
          </w:tcPr>
          <w:p w14:paraId="12DB95FA" w14:textId="25355F93" w:rsidR="00012937" w:rsidRDefault="00012937" w:rsidP="00BC09FB">
            <w:pPr>
              <w:rPr>
                <w:rFonts w:ascii="Arial" w:hAnsi="Arial" w:cs="Arial"/>
                <w:sz w:val="28"/>
                <w:szCs w:val="28"/>
              </w:rPr>
            </w:pPr>
            <w:r>
              <w:rPr>
                <w:rFonts w:ascii="Arial" w:hAnsi="Arial" w:cs="Arial"/>
                <w:sz w:val="28"/>
                <w:szCs w:val="28"/>
              </w:rPr>
              <w:t>Revised</w:t>
            </w:r>
          </w:p>
        </w:tc>
        <w:tc>
          <w:tcPr>
            <w:tcW w:w="2297" w:type="dxa"/>
          </w:tcPr>
          <w:p w14:paraId="0D1542C2" w14:textId="4E3219B2" w:rsidR="00012937" w:rsidRDefault="00012937" w:rsidP="00BC09FB">
            <w:pPr>
              <w:rPr>
                <w:rFonts w:ascii="Arial" w:hAnsi="Arial" w:cs="Arial"/>
                <w:sz w:val="28"/>
                <w:szCs w:val="28"/>
              </w:rPr>
            </w:pPr>
            <w:r>
              <w:rPr>
                <w:rFonts w:ascii="Arial" w:hAnsi="Arial" w:cs="Arial"/>
                <w:sz w:val="28"/>
                <w:szCs w:val="28"/>
              </w:rPr>
              <w:t>14 March 2022</w:t>
            </w:r>
          </w:p>
        </w:tc>
        <w:tc>
          <w:tcPr>
            <w:tcW w:w="3402" w:type="dxa"/>
          </w:tcPr>
          <w:p w14:paraId="03AEC307" w14:textId="7DD13823" w:rsidR="00012937" w:rsidRPr="00800A9F" w:rsidRDefault="00012937" w:rsidP="00BC09FB">
            <w:pPr>
              <w:rPr>
                <w:rFonts w:ascii="Arial" w:hAnsi="Arial" w:cs="Arial"/>
                <w:sz w:val="28"/>
                <w:szCs w:val="28"/>
              </w:rPr>
            </w:pPr>
            <w:r w:rsidRPr="00012937">
              <w:rPr>
                <w:rFonts w:ascii="Arial" w:hAnsi="Arial" w:cs="Arial"/>
                <w:sz w:val="28"/>
                <w:szCs w:val="28"/>
              </w:rPr>
              <w:t>No impact on any of the Section 75 equality categories</w:t>
            </w:r>
          </w:p>
        </w:tc>
      </w:tr>
      <w:tr w:rsidR="005B1BF4" w:rsidRPr="005D1ACB" w14:paraId="255967D0" w14:textId="77777777" w:rsidTr="005D1ACB">
        <w:tc>
          <w:tcPr>
            <w:tcW w:w="2689" w:type="dxa"/>
          </w:tcPr>
          <w:p w14:paraId="2C594A6C" w14:textId="06BC2B11" w:rsidR="005B1BF4" w:rsidRDefault="005B1BF4" w:rsidP="00BC09FB">
            <w:pPr>
              <w:rPr>
                <w:rFonts w:ascii="Arial" w:hAnsi="Arial" w:cs="Arial"/>
                <w:sz w:val="28"/>
                <w:szCs w:val="28"/>
              </w:rPr>
            </w:pPr>
            <w:r>
              <w:rPr>
                <w:rFonts w:ascii="Arial" w:hAnsi="Arial" w:cs="Arial"/>
                <w:sz w:val="28"/>
                <w:szCs w:val="28"/>
              </w:rPr>
              <w:t>Tendering Procedures</w:t>
            </w:r>
          </w:p>
        </w:tc>
        <w:tc>
          <w:tcPr>
            <w:tcW w:w="5583" w:type="dxa"/>
          </w:tcPr>
          <w:p w14:paraId="7888E06E" w14:textId="5513E656" w:rsidR="005B1BF4" w:rsidRPr="00012937" w:rsidRDefault="005B1BF4" w:rsidP="00012937">
            <w:pPr>
              <w:rPr>
                <w:rFonts w:ascii="Arial" w:hAnsi="Arial" w:cs="Arial"/>
                <w:sz w:val="28"/>
                <w:szCs w:val="28"/>
              </w:rPr>
            </w:pPr>
            <w:r w:rsidRPr="005B1BF4">
              <w:rPr>
                <w:rFonts w:ascii="Arial" w:hAnsi="Arial" w:cs="Arial"/>
                <w:sz w:val="28"/>
                <w:szCs w:val="28"/>
              </w:rPr>
              <w:t xml:space="preserve">To provide guidance on the procurement/purchasing of works, </w:t>
            </w:r>
            <w:r w:rsidRPr="005B1BF4">
              <w:rPr>
                <w:rFonts w:ascii="Arial" w:hAnsi="Arial" w:cs="Arial"/>
                <w:sz w:val="28"/>
                <w:szCs w:val="28"/>
              </w:rPr>
              <w:lastRenderedPageBreak/>
              <w:t>equipment, goods and services while obtaining best value for money.</w:t>
            </w:r>
          </w:p>
        </w:tc>
        <w:tc>
          <w:tcPr>
            <w:tcW w:w="1530" w:type="dxa"/>
          </w:tcPr>
          <w:p w14:paraId="3616DBF0" w14:textId="2F1FECCD" w:rsidR="005B1BF4" w:rsidRDefault="005B1BF4" w:rsidP="00BC09FB">
            <w:pPr>
              <w:rPr>
                <w:rFonts w:ascii="Arial" w:hAnsi="Arial" w:cs="Arial"/>
                <w:sz w:val="28"/>
                <w:szCs w:val="28"/>
              </w:rPr>
            </w:pPr>
            <w:r>
              <w:rPr>
                <w:rFonts w:ascii="Arial" w:hAnsi="Arial" w:cs="Arial"/>
                <w:sz w:val="28"/>
                <w:szCs w:val="28"/>
              </w:rPr>
              <w:lastRenderedPageBreak/>
              <w:t>Revised</w:t>
            </w:r>
          </w:p>
        </w:tc>
        <w:tc>
          <w:tcPr>
            <w:tcW w:w="2297" w:type="dxa"/>
          </w:tcPr>
          <w:p w14:paraId="26006952" w14:textId="29E55BF1" w:rsidR="005B1BF4" w:rsidRDefault="005B1BF4" w:rsidP="00BC09FB">
            <w:pPr>
              <w:rPr>
                <w:rFonts w:ascii="Arial" w:hAnsi="Arial" w:cs="Arial"/>
                <w:sz w:val="28"/>
                <w:szCs w:val="28"/>
              </w:rPr>
            </w:pPr>
            <w:r>
              <w:rPr>
                <w:rFonts w:ascii="Arial" w:hAnsi="Arial" w:cs="Arial"/>
                <w:sz w:val="28"/>
                <w:szCs w:val="28"/>
              </w:rPr>
              <w:t>14 March 2022</w:t>
            </w:r>
          </w:p>
        </w:tc>
        <w:tc>
          <w:tcPr>
            <w:tcW w:w="3402" w:type="dxa"/>
          </w:tcPr>
          <w:p w14:paraId="78D52E2D" w14:textId="42EF7F35" w:rsidR="005B1BF4" w:rsidRPr="00012937" w:rsidRDefault="005B1BF4" w:rsidP="00BC09FB">
            <w:pPr>
              <w:rPr>
                <w:rFonts w:ascii="Arial" w:hAnsi="Arial" w:cs="Arial"/>
                <w:sz w:val="28"/>
                <w:szCs w:val="28"/>
              </w:rPr>
            </w:pPr>
            <w:r>
              <w:rPr>
                <w:rFonts w:ascii="Arial" w:hAnsi="Arial" w:cs="Arial"/>
                <w:sz w:val="28"/>
                <w:szCs w:val="28"/>
              </w:rPr>
              <w:t>No impact on any of the Section 75 equality categories</w:t>
            </w:r>
          </w:p>
        </w:tc>
      </w:tr>
      <w:tr w:rsidR="00B76DCC" w:rsidRPr="005D1ACB" w14:paraId="23746F93" w14:textId="77777777" w:rsidTr="005D1ACB">
        <w:tc>
          <w:tcPr>
            <w:tcW w:w="2689" w:type="dxa"/>
          </w:tcPr>
          <w:p w14:paraId="7B552168" w14:textId="15F7882E" w:rsidR="00B76DCC" w:rsidRDefault="00B76DCC" w:rsidP="00BC09FB">
            <w:pPr>
              <w:rPr>
                <w:rFonts w:ascii="Arial" w:hAnsi="Arial" w:cs="Arial"/>
                <w:sz w:val="28"/>
                <w:szCs w:val="28"/>
              </w:rPr>
            </w:pPr>
            <w:r>
              <w:rPr>
                <w:rFonts w:ascii="Arial" w:hAnsi="Arial" w:cs="Arial"/>
                <w:sz w:val="28"/>
                <w:szCs w:val="28"/>
              </w:rPr>
              <w:t>Young Adults Carers Policy</w:t>
            </w:r>
          </w:p>
        </w:tc>
        <w:tc>
          <w:tcPr>
            <w:tcW w:w="5583" w:type="dxa"/>
          </w:tcPr>
          <w:p w14:paraId="0BEF8427" w14:textId="05395E7A" w:rsidR="00B76DCC" w:rsidRPr="005B1BF4" w:rsidRDefault="00B76DCC" w:rsidP="00012937">
            <w:pPr>
              <w:rPr>
                <w:rFonts w:ascii="Arial" w:hAnsi="Arial" w:cs="Arial"/>
                <w:sz w:val="28"/>
                <w:szCs w:val="28"/>
              </w:rPr>
            </w:pPr>
            <w:r w:rsidRPr="00B76DCC">
              <w:rPr>
                <w:rFonts w:ascii="Arial" w:hAnsi="Arial" w:cs="Arial"/>
                <w:sz w:val="28"/>
                <w:szCs w:val="28"/>
              </w:rPr>
              <w:t>North West Regional College is committed to supporting Young Adult Carers and recognises the importance of promoting and supporting students that have caring responsibilities for a family member, partner or friend at their home. NWRC believes that all Young Adult Carers have the right to an education regardless of their commitment to providing care for a family member. When a Young Adult Carer is providing care for someone in their family who has a serious illness, disability or substance misuse problem, he or she may need additional support to ensure they achieve their potential, NWRC recognises this and is committed to ensuring support is in place to support the Young Adult Carer in achieving their qualification.</w:t>
            </w:r>
          </w:p>
        </w:tc>
        <w:tc>
          <w:tcPr>
            <w:tcW w:w="1530" w:type="dxa"/>
          </w:tcPr>
          <w:p w14:paraId="7EAD78E6" w14:textId="7CB57EE1" w:rsidR="00B76DCC" w:rsidRDefault="00B76DCC" w:rsidP="00BC09FB">
            <w:pPr>
              <w:rPr>
                <w:rFonts w:ascii="Arial" w:hAnsi="Arial" w:cs="Arial"/>
                <w:sz w:val="28"/>
                <w:szCs w:val="28"/>
              </w:rPr>
            </w:pPr>
            <w:r>
              <w:rPr>
                <w:rFonts w:ascii="Arial" w:hAnsi="Arial" w:cs="Arial"/>
                <w:sz w:val="28"/>
                <w:szCs w:val="28"/>
              </w:rPr>
              <w:t>Existing</w:t>
            </w:r>
          </w:p>
        </w:tc>
        <w:tc>
          <w:tcPr>
            <w:tcW w:w="2297" w:type="dxa"/>
          </w:tcPr>
          <w:p w14:paraId="6003FA40" w14:textId="03414F40" w:rsidR="00B76DCC" w:rsidRDefault="00B76DCC" w:rsidP="00BC09FB">
            <w:pPr>
              <w:rPr>
                <w:rFonts w:ascii="Arial" w:hAnsi="Arial" w:cs="Arial"/>
                <w:sz w:val="28"/>
                <w:szCs w:val="28"/>
              </w:rPr>
            </w:pPr>
            <w:r>
              <w:rPr>
                <w:rFonts w:ascii="Arial" w:hAnsi="Arial" w:cs="Arial"/>
                <w:sz w:val="28"/>
                <w:szCs w:val="28"/>
              </w:rPr>
              <w:t>23 March 2022</w:t>
            </w:r>
          </w:p>
        </w:tc>
        <w:tc>
          <w:tcPr>
            <w:tcW w:w="3402" w:type="dxa"/>
          </w:tcPr>
          <w:p w14:paraId="13A45C45" w14:textId="054D0887" w:rsidR="00B76DCC" w:rsidRDefault="00B76DCC" w:rsidP="00BC09FB">
            <w:pPr>
              <w:rPr>
                <w:rFonts w:ascii="Arial" w:hAnsi="Arial" w:cs="Arial"/>
                <w:sz w:val="28"/>
                <w:szCs w:val="28"/>
              </w:rPr>
            </w:pPr>
            <w:r w:rsidRPr="00B76DCC">
              <w:rPr>
                <w:rFonts w:ascii="Arial" w:hAnsi="Arial" w:cs="Arial"/>
                <w:sz w:val="28"/>
                <w:szCs w:val="28"/>
              </w:rPr>
              <w:t>The Young Adult Carer policy has been developed to acknowledge the support that may require while young carers are studying at the College.  Support plans incorporating student ID cards, access to telephones and consideration of alternative deadlines for submitting work have been put in place.  There is no adverse impact on any of the Section 75 categories as other support mechanisms are available for other student carers</w:t>
            </w:r>
          </w:p>
        </w:tc>
      </w:tr>
    </w:tbl>
    <w:p w14:paraId="6ECCCD9D" w14:textId="41F8E1AB" w:rsidR="001B2D31" w:rsidRDefault="001B2D31" w:rsidP="00F57260"/>
    <w:p w14:paraId="03F62AAD" w14:textId="15CFE240" w:rsidR="001B2D31" w:rsidRDefault="001B2D31" w:rsidP="00F57260"/>
    <w:p w14:paraId="63277BF4" w14:textId="77777777" w:rsidR="001B2D31" w:rsidRDefault="001B2D31" w:rsidP="00F57260"/>
    <w:p w14:paraId="0EA53BFF" w14:textId="77777777" w:rsidR="009579F5" w:rsidRDefault="009579F5" w:rsidP="00F57260"/>
    <w:sectPr w:rsidR="009579F5" w:rsidSect="00FE5508">
      <w:headerReference w:type="even" r:id="rId8"/>
      <w:headerReference w:type="default" r:id="rId9"/>
      <w:footerReference w:type="even"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69BD5" w14:textId="77777777" w:rsidR="00934E05" w:rsidRDefault="00934E05" w:rsidP="006E34E8">
      <w:r>
        <w:separator/>
      </w:r>
    </w:p>
  </w:endnote>
  <w:endnote w:type="continuationSeparator" w:id="0">
    <w:p w14:paraId="010C08E9" w14:textId="77777777" w:rsidR="00934E05" w:rsidRDefault="00934E05" w:rsidP="006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2E9B" w14:textId="4AC37D05" w:rsidR="00DD1AED" w:rsidRDefault="00DD1AED">
    <w:pPr>
      <w:pStyle w:val="Footer"/>
    </w:pPr>
    <w:r>
      <w:rPr>
        <w:noProof/>
      </w:rPr>
      <mc:AlternateContent>
        <mc:Choice Requires="wps">
          <w:drawing>
            <wp:anchor distT="0" distB="0" distL="0" distR="0" simplePos="0" relativeHeight="251659264" behindDoc="0" locked="0" layoutInCell="1" allowOverlap="1" wp14:anchorId="48A01157" wp14:editId="2D44313D">
              <wp:simplePos x="635" y="635"/>
              <wp:positionH relativeFrom="leftMargin">
                <wp:align>left</wp:align>
              </wp:positionH>
              <wp:positionV relativeFrom="paragraph">
                <wp:posOffset>635</wp:posOffset>
              </wp:positionV>
              <wp:extent cx="443865" cy="443865"/>
              <wp:effectExtent l="0" t="0" r="8255" b="16510"/>
              <wp:wrapSquare wrapText="bothSides"/>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8A01157" id="_x0000_t202" coordsize="21600,21600" o:spt="202" path="m,l,21600r21600,l21600,xe">
              <v:stroke joinstyle="miter"/>
              <v:path gradientshapeok="t" o:connecttype="rect"/>
            </v:shapetype>
            <v:shape id="Text Box 2" o:spid="_x0000_s1028"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5A45F09F" w14:textId="482CF62D"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5A3C" w14:textId="1033BE44" w:rsidR="00DD1AED" w:rsidRDefault="00DD1AED">
    <w:pPr>
      <w:pStyle w:val="Footer"/>
    </w:pPr>
    <w:r>
      <w:rPr>
        <w:noProof/>
      </w:rPr>
      <mc:AlternateContent>
        <mc:Choice Requires="wps">
          <w:drawing>
            <wp:anchor distT="0" distB="0" distL="0" distR="0" simplePos="0" relativeHeight="251658240" behindDoc="0" locked="0" layoutInCell="1" allowOverlap="1" wp14:anchorId="2C16E349" wp14:editId="24B8303B">
              <wp:simplePos x="635" y="635"/>
              <wp:positionH relativeFrom="leftMargin">
                <wp:align>left</wp:align>
              </wp:positionH>
              <wp:positionV relativeFrom="paragraph">
                <wp:posOffset>635</wp:posOffset>
              </wp:positionV>
              <wp:extent cx="443865" cy="443865"/>
              <wp:effectExtent l="0" t="0" r="8255" b="16510"/>
              <wp:wrapSquare wrapText="bothSides"/>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16E349" id="_x0000_t202" coordsize="21600,21600" o:spt="202" path="m,l,21600r21600,l21600,xe">
              <v:stroke joinstyle="miter"/>
              <v:path gradientshapeok="t" o:connecttype="rect"/>
            </v:shapetype>
            <v:shape id="Text Box 1" o:spid="_x0000_s1030" type="#_x0000_t202" alt="&quot;&quot;"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610EBD9" w14:textId="22349A4F" w:rsidR="00DD1AED" w:rsidRPr="00DD1AED" w:rsidRDefault="00DD1AED">
                    <w:pPr>
                      <w:rPr>
                        <w:rFonts w:ascii="Calibri" w:eastAsia="Calibri" w:hAnsi="Calibri" w:cs="Calibri"/>
                        <w:color w:val="FFFF00"/>
                        <w:sz w:val="20"/>
                        <w:szCs w:val="20"/>
                      </w:rPr>
                    </w:pPr>
                    <w:r w:rsidRPr="00DD1AED">
                      <w:rPr>
                        <w:rFonts w:ascii="Calibri" w:eastAsia="Calibri" w:hAnsi="Calibri" w:cs="Calibri"/>
                        <w:color w:val="FFFF00"/>
                        <w:sz w:val="20"/>
                        <w:szCs w:val="20"/>
                      </w:rPr>
                      <w:t>Please treat this information as 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449C" w14:textId="77777777" w:rsidR="00934E05" w:rsidRDefault="00934E05" w:rsidP="006E34E8">
      <w:r>
        <w:separator/>
      </w:r>
    </w:p>
  </w:footnote>
  <w:footnote w:type="continuationSeparator" w:id="0">
    <w:p w14:paraId="551480A7" w14:textId="77777777" w:rsidR="00934E05" w:rsidRDefault="00934E05" w:rsidP="006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DB0D" w14:textId="4592559D" w:rsidR="00DD1AED" w:rsidRDefault="00DD1AED">
    <w:pPr>
      <w:pStyle w:val="Header"/>
    </w:pPr>
    <w:r>
      <w:rPr>
        <w:noProof/>
      </w:rPr>
      <mc:AlternateContent>
        <mc:Choice Requires="wps">
          <w:drawing>
            <wp:anchor distT="0" distB="0" distL="114300" distR="114300" simplePos="0" relativeHeight="251662336" behindDoc="1" locked="0" layoutInCell="1" allowOverlap="1" wp14:anchorId="19EB46E6" wp14:editId="01BD9910">
              <wp:simplePos x="635" y="635"/>
              <wp:positionH relativeFrom="margin">
                <wp:align>center</wp:align>
              </wp:positionH>
              <wp:positionV relativeFrom="margin">
                <wp:align>center</wp:align>
              </wp:positionV>
              <wp:extent cx="443865" cy="443865"/>
              <wp:effectExtent l="19050" t="114300" r="0" b="11176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EB46E6" id="_x0000_t202" coordsize="21600,21600" o:spt="202" path="m,l,21600r21600,l21600,xe">
              <v:stroke joinstyle="miter"/>
              <v:path gradientshapeok="t" o:connecttype="rect"/>
            </v:shapetype>
            <v:shape id="Text Box 5" o:spid="_x0000_s1026" type="#_x0000_t202" alt="&quot;&quot;"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4BD5828F" w14:textId="58FE944B"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7847" w14:textId="3DB3EDBC" w:rsidR="00DD1AED" w:rsidRDefault="00DD1AED">
    <w:pPr>
      <w:pStyle w:val="Header"/>
    </w:pPr>
    <w:r>
      <w:rPr>
        <w:noProof/>
      </w:rPr>
      <mc:AlternateContent>
        <mc:Choice Requires="wps">
          <w:drawing>
            <wp:anchor distT="0" distB="0" distL="114300" distR="114300" simplePos="0" relativeHeight="251663360" behindDoc="1" locked="0" layoutInCell="1" allowOverlap="1" wp14:anchorId="3AB42535" wp14:editId="61A5B601">
              <wp:simplePos x="457200" y="447675"/>
              <wp:positionH relativeFrom="margin">
                <wp:align>center</wp:align>
              </wp:positionH>
              <wp:positionV relativeFrom="margin">
                <wp:align>center</wp:align>
              </wp:positionV>
              <wp:extent cx="443865" cy="443865"/>
              <wp:effectExtent l="19050" t="114300" r="0" b="11176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B42535" id="_x0000_t202" coordsize="21600,21600" o:spt="202" path="m,l,21600r21600,l21600,xe">
              <v:stroke joinstyle="miter"/>
              <v:path gradientshapeok="t" o:connecttype="rect"/>
            </v:shapetype>
            <v:shape id="Text Box 6" o:spid="_x0000_s1027" type="#_x0000_t202" alt="&quot;&quot;" style="position:absolute;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0D038FB6" w14:textId="5CACF429"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26B7" w14:textId="473E11C0" w:rsidR="00DD1AED" w:rsidRDefault="00DD1AED">
    <w:pPr>
      <w:pStyle w:val="Header"/>
    </w:pPr>
    <w:r>
      <w:rPr>
        <w:noProof/>
      </w:rPr>
      <mc:AlternateContent>
        <mc:Choice Requires="wps">
          <w:drawing>
            <wp:anchor distT="0" distB="0" distL="114300" distR="114300" simplePos="0" relativeHeight="251661312" behindDoc="1" locked="0" layoutInCell="1" allowOverlap="1" wp14:anchorId="333BCE63" wp14:editId="2C21B8B8">
              <wp:simplePos x="635" y="635"/>
              <wp:positionH relativeFrom="margin">
                <wp:align>center</wp:align>
              </wp:positionH>
              <wp:positionV relativeFrom="margin">
                <wp:align>center</wp:align>
              </wp:positionV>
              <wp:extent cx="443865" cy="443865"/>
              <wp:effectExtent l="19050" t="114300" r="0" b="111760"/>
              <wp:wrapNone/>
              <wp:docPr id="4" name="Text Box 4">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3BCE63" id="_x0000_t202" coordsize="21600,21600" o:spt="202" path="m,l,21600r21600,l21600,xe">
              <v:stroke joinstyle="miter"/>
              <v:path gradientshapeok="t" o:connecttype="rect"/>
            </v:shapetype>
            <v:shape id="Text Box 4" o:spid="_x0000_s1029" type="#_x0000_t202" alt="&quot;&quot;"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11CAB76B" w14:textId="28EB47D5" w:rsidR="00DD1AED" w:rsidRPr="00DD1AED" w:rsidRDefault="00DD1AED">
                    <w:pPr>
                      <w:rPr>
                        <w:rFonts w:ascii="Calibri" w:eastAsia="Calibri" w:hAnsi="Calibri" w:cs="Calibri"/>
                        <w:color w:val="000000"/>
                        <w:sz w:val="20"/>
                        <w:szCs w:val="20"/>
                        <w14:textFill>
                          <w14:solidFill>
                            <w14:srgbClr w14:val="000000">
                              <w14:alpha w14:val="50000"/>
                            </w14:srgbClr>
                          </w14:solidFill>
                        </w14:textFill>
                      </w:rPr>
                    </w:pPr>
                    <w:r w:rsidRPr="00DD1AED">
                      <w:rPr>
                        <w:rFonts w:ascii="Calibri" w:eastAsia="Calibri" w:hAnsi="Calibri" w:cs="Calibri"/>
                        <w:color w:val="000000"/>
                        <w:sz w:val="20"/>
                        <w:szCs w:val="20"/>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69AD"/>
    <w:multiLevelType w:val="hybridMultilevel"/>
    <w:tmpl w:val="D9ECB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93077F"/>
    <w:multiLevelType w:val="hybridMultilevel"/>
    <w:tmpl w:val="9DD47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EE1F47"/>
    <w:multiLevelType w:val="hybridMultilevel"/>
    <w:tmpl w:val="2F72A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F86144"/>
    <w:multiLevelType w:val="hybridMultilevel"/>
    <w:tmpl w:val="54F48F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CB45A7"/>
    <w:multiLevelType w:val="hybridMultilevel"/>
    <w:tmpl w:val="AE023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42C58"/>
    <w:multiLevelType w:val="hybridMultilevel"/>
    <w:tmpl w:val="1CE274A4"/>
    <w:lvl w:ilvl="0" w:tplc="F4646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92927"/>
    <w:multiLevelType w:val="hybridMultilevel"/>
    <w:tmpl w:val="03C6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78"/>
    <w:rsid w:val="00012937"/>
    <w:rsid w:val="000229FC"/>
    <w:rsid w:val="00025EA6"/>
    <w:rsid w:val="00034655"/>
    <w:rsid w:val="00043541"/>
    <w:rsid w:val="0007337C"/>
    <w:rsid w:val="00073CA3"/>
    <w:rsid w:val="00081AD5"/>
    <w:rsid w:val="000848F1"/>
    <w:rsid w:val="000A3914"/>
    <w:rsid w:val="000A75E9"/>
    <w:rsid w:val="000B7D91"/>
    <w:rsid w:val="000C4073"/>
    <w:rsid w:val="000E6C8C"/>
    <w:rsid w:val="00100F6B"/>
    <w:rsid w:val="0011748D"/>
    <w:rsid w:val="00120EDF"/>
    <w:rsid w:val="00126728"/>
    <w:rsid w:val="00127CFF"/>
    <w:rsid w:val="00132AEB"/>
    <w:rsid w:val="00133E3C"/>
    <w:rsid w:val="00142AC7"/>
    <w:rsid w:val="00145D05"/>
    <w:rsid w:val="001472BD"/>
    <w:rsid w:val="00151BBA"/>
    <w:rsid w:val="00167B46"/>
    <w:rsid w:val="00184240"/>
    <w:rsid w:val="001A6F33"/>
    <w:rsid w:val="001B2D31"/>
    <w:rsid w:val="001B6A66"/>
    <w:rsid w:val="001C0E59"/>
    <w:rsid w:val="001C2C0B"/>
    <w:rsid w:val="001F2BBA"/>
    <w:rsid w:val="00212414"/>
    <w:rsid w:val="002306F3"/>
    <w:rsid w:val="002336E7"/>
    <w:rsid w:val="00240D20"/>
    <w:rsid w:val="00261B94"/>
    <w:rsid w:val="0027051B"/>
    <w:rsid w:val="00271FCD"/>
    <w:rsid w:val="002736CC"/>
    <w:rsid w:val="00294712"/>
    <w:rsid w:val="002955D1"/>
    <w:rsid w:val="002E352F"/>
    <w:rsid w:val="0031480A"/>
    <w:rsid w:val="00315130"/>
    <w:rsid w:val="00320827"/>
    <w:rsid w:val="00324C12"/>
    <w:rsid w:val="00330C4D"/>
    <w:rsid w:val="003554C9"/>
    <w:rsid w:val="003638AD"/>
    <w:rsid w:val="00363DEF"/>
    <w:rsid w:val="00367A18"/>
    <w:rsid w:val="003844FF"/>
    <w:rsid w:val="003942A0"/>
    <w:rsid w:val="003A6008"/>
    <w:rsid w:val="003B11BB"/>
    <w:rsid w:val="003B706D"/>
    <w:rsid w:val="003C7043"/>
    <w:rsid w:val="003D4A4F"/>
    <w:rsid w:val="003E48A1"/>
    <w:rsid w:val="003F5100"/>
    <w:rsid w:val="00411801"/>
    <w:rsid w:val="0042184D"/>
    <w:rsid w:val="00433257"/>
    <w:rsid w:val="004339F7"/>
    <w:rsid w:val="00443161"/>
    <w:rsid w:val="00444F11"/>
    <w:rsid w:val="00464946"/>
    <w:rsid w:val="00466E65"/>
    <w:rsid w:val="00475A6E"/>
    <w:rsid w:val="00476620"/>
    <w:rsid w:val="00492866"/>
    <w:rsid w:val="004A29F9"/>
    <w:rsid w:val="004A3478"/>
    <w:rsid w:val="004E2071"/>
    <w:rsid w:val="004F2EE2"/>
    <w:rsid w:val="004F751E"/>
    <w:rsid w:val="005010AD"/>
    <w:rsid w:val="00536EC1"/>
    <w:rsid w:val="0054146A"/>
    <w:rsid w:val="005518F5"/>
    <w:rsid w:val="00553542"/>
    <w:rsid w:val="005563B5"/>
    <w:rsid w:val="005572FE"/>
    <w:rsid w:val="00557DCC"/>
    <w:rsid w:val="00575EB8"/>
    <w:rsid w:val="005A02B7"/>
    <w:rsid w:val="005A3423"/>
    <w:rsid w:val="005A38B0"/>
    <w:rsid w:val="005A39A2"/>
    <w:rsid w:val="005A5F1F"/>
    <w:rsid w:val="005A765A"/>
    <w:rsid w:val="005B1BF4"/>
    <w:rsid w:val="005B3B13"/>
    <w:rsid w:val="005D05BD"/>
    <w:rsid w:val="005D1ACB"/>
    <w:rsid w:val="005F22EA"/>
    <w:rsid w:val="005F7EEE"/>
    <w:rsid w:val="0061556F"/>
    <w:rsid w:val="0063547A"/>
    <w:rsid w:val="00644495"/>
    <w:rsid w:val="00655CB2"/>
    <w:rsid w:val="006661B3"/>
    <w:rsid w:val="00667020"/>
    <w:rsid w:val="006A4AA4"/>
    <w:rsid w:val="006B7EFF"/>
    <w:rsid w:val="006D043C"/>
    <w:rsid w:val="006E34E8"/>
    <w:rsid w:val="00700340"/>
    <w:rsid w:val="00711EEA"/>
    <w:rsid w:val="0072118B"/>
    <w:rsid w:val="00724734"/>
    <w:rsid w:val="00735A37"/>
    <w:rsid w:val="00741238"/>
    <w:rsid w:val="007427DC"/>
    <w:rsid w:val="007856E3"/>
    <w:rsid w:val="007E3798"/>
    <w:rsid w:val="007F6725"/>
    <w:rsid w:val="00800A9F"/>
    <w:rsid w:val="00803C18"/>
    <w:rsid w:val="00810146"/>
    <w:rsid w:val="008174E7"/>
    <w:rsid w:val="00817852"/>
    <w:rsid w:val="008638ED"/>
    <w:rsid w:val="0086416E"/>
    <w:rsid w:val="008B584B"/>
    <w:rsid w:val="008B65F9"/>
    <w:rsid w:val="008C7382"/>
    <w:rsid w:val="008E373A"/>
    <w:rsid w:val="00900BEB"/>
    <w:rsid w:val="00903B6E"/>
    <w:rsid w:val="009170E1"/>
    <w:rsid w:val="0092109B"/>
    <w:rsid w:val="00921258"/>
    <w:rsid w:val="00934E05"/>
    <w:rsid w:val="00941D1D"/>
    <w:rsid w:val="009579F5"/>
    <w:rsid w:val="00971017"/>
    <w:rsid w:val="00972F97"/>
    <w:rsid w:val="009771AA"/>
    <w:rsid w:val="009805A4"/>
    <w:rsid w:val="009904BB"/>
    <w:rsid w:val="00996D08"/>
    <w:rsid w:val="009E163F"/>
    <w:rsid w:val="009E4970"/>
    <w:rsid w:val="009E4DBD"/>
    <w:rsid w:val="009E5F96"/>
    <w:rsid w:val="009F53F5"/>
    <w:rsid w:val="00A05A23"/>
    <w:rsid w:val="00A252C8"/>
    <w:rsid w:val="00A259A7"/>
    <w:rsid w:val="00A26316"/>
    <w:rsid w:val="00A50141"/>
    <w:rsid w:val="00A50395"/>
    <w:rsid w:val="00A536F9"/>
    <w:rsid w:val="00A541C1"/>
    <w:rsid w:val="00A57244"/>
    <w:rsid w:val="00A65BF3"/>
    <w:rsid w:val="00A70145"/>
    <w:rsid w:val="00A7038D"/>
    <w:rsid w:val="00A7642D"/>
    <w:rsid w:val="00A77037"/>
    <w:rsid w:val="00A773BE"/>
    <w:rsid w:val="00A9195F"/>
    <w:rsid w:val="00A9506D"/>
    <w:rsid w:val="00AA632A"/>
    <w:rsid w:val="00AA7A12"/>
    <w:rsid w:val="00AD433D"/>
    <w:rsid w:val="00AE097D"/>
    <w:rsid w:val="00AF0F61"/>
    <w:rsid w:val="00AF56D3"/>
    <w:rsid w:val="00AF701D"/>
    <w:rsid w:val="00B06E6A"/>
    <w:rsid w:val="00B200D5"/>
    <w:rsid w:val="00B22603"/>
    <w:rsid w:val="00B47ADE"/>
    <w:rsid w:val="00B56582"/>
    <w:rsid w:val="00B6483E"/>
    <w:rsid w:val="00B7016F"/>
    <w:rsid w:val="00B71661"/>
    <w:rsid w:val="00B76DCC"/>
    <w:rsid w:val="00BB4C72"/>
    <w:rsid w:val="00BC09FB"/>
    <w:rsid w:val="00BC645C"/>
    <w:rsid w:val="00BE6850"/>
    <w:rsid w:val="00BF3945"/>
    <w:rsid w:val="00C31C0E"/>
    <w:rsid w:val="00C9013E"/>
    <w:rsid w:val="00CA7175"/>
    <w:rsid w:val="00CD04FE"/>
    <w:rsid w:val="00CD2429"/>
    <w:rsid w:val="00CE4C8D"/>
    <w:rsid w:val="00CF362A"/>
    <w:rsid w:val="00D15C0C"/>
    <w:rsid w:val="00D16F42"/>
    <w:rsid w:val="00D17A27"/>
    <w:rsid w:val="00D47CC4"/>
    <w:rsid w:val="00D75370"/>
    <w:rsid w:val="00D87D15"/>
    <w:rsid w:val="00D91CD4"/>
    <w:rsid w:val="00D953A1"/>
    <w:rsid w:val="00DC4950"/>
    <w:rsid w:val="00DC6FE6"/>
    <w:rsid w:val="00DD1AED"/>
    <w:rsid w:val="00DD613D"/>
    <w:rsid w:val="00DE405E"/>
    <w:rsid w:val="00DF5E45"/>
    <w:rsid w:val="00E01681"/>
    <w:rsid w:val="00E230F1"/>
    <w:rsid w:val="00E25709"/>
    <w:rsid w:val="00E2651F"/>
    <w:rsid w:val="00E536A0"/>
    <w:rsid w:val="00E6255E"/>
    <w:rsid w:val="00E659E2"/>
    <w:rsid w:val="00E83BA6"/>
    <w:rsid w:val="00E84B3A"/>
    <w:rsid w:val="00E85C9A"/>
    <w:rsid w:val="00EA339B"/>
    <w:rsid w:val="00EB3796"/>
    <w:rsid w:val="00EC5115"/>
    <w:rsid w:val="00EE0A61"/>
    <w:rsid w:val="00F13F0D"/>
    <w:rsid w:val="00F1474B"/>
    <w:rsid w:val="00F213FB"/>
    <w:rsid w:val="00F407C9"/>
    <w:rsid w:val="00F4742E"/>
    <w:rsid w:val="00F57260"/>
    <w:rsid w:val="00F60C72"/>
    <w:rsid w:val="00F6211B"/>
    <w:rsid w:val="00F925F8"/>
    <w:rsid w:val="00FB267C"/>
    <w:rsid w:val="00FD74E9"/>
    <w:rsid w:val="00FE4003"/>
    <w:rsid w:val="00FE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75F7"/>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 w:type="paragraph" w:styleId="Header">
    <w:name w:val="header"/>
    <w:basedOn w:val="Normal"/>
    <w:link w:val="HeaderChar"/>
    <w:uiPriority w:val="99"/>
    <w:unhideWhenUsed/>
    <w:rsid w:val="006E34E8"/>
    <w:pPr>
      <w:tabs>
        <w:tab w:val="center" w:pos="4513"/>
        <w:tab w:val="right" w:pos="9026"/>
      </w:tabs>
    </w:pPr>
  </w:style>
  <w:style w:type="character" w:customStyle="1" w:styleId="HeaderChar">
    <w:name w:val="Header Char"/>
    <w:basedOn w:val="DefaultParagraphFont"/>
    <w:link w:val="Header"/>
    <w:uiPriority w:val="99"/>
    <w:rsid w:val="006E34E8"/>
  </w:style>
  <w:style w:type="paragraph" w:styleId="Footer">
    <w:name w:val="footer"/>
    <w:basedOn w:val="Normal"/>
    <w:link w:val="FooterChar"/>
    <w:uiPriority w:val="99"/>
    <w:unhideWhenUsed/>
    <w:rsid w:val="006E34E8"/>
    <w:pPr>
      <w:tabs>
        <w:tab w:val="center" w:pos="4513"/>
        <w:tab w:val="right" w:pos="9026"/>
      </w:tabs>
    </w:pPr>
  </w:style>
  <w:style w:type="character" w:customStyle="1" w:styleId="FooterChar">
    <w:name w:val="Footer Char"/>
    <w:basedOn w:val="DefaultParagraphFont"/>
    <w:link w:val="Footer"/>
    <w:uiPriority w:val="99"/>
    <w:rsid w:val="006E34E8"/>
  </w:style>
  <w:style w:type="paragraph" w:styleId="ListParagraph">
    <w:name w:val="List Paragraph"/>
    <w:basedOn w:val="Normal"/>
    <w:uiPriority w:val="34"/>
    <w:qFormat/>
    <w:rsid w:val="007856E3"/>
    <w:pPr>
      <w:ind w:left="720"/>
      <w:contextualSpacing/>
    </w:pPr>
  </w:style>
  <w:style w:type="table" w:styleId="TableGridLight">
    <w:name w:val="Grid Table Light"/>
    <w:basedOn w:val="TableNormal"/>
    <w:uiPriority w:val="40"/>
    <w:rsid w:val="005D1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70E1-CA82-453D-ABAC-1F09CAD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7</cp:revision>
  <cp:lastPrinted>2022-01-05T09:30:00Z</cp:lastPrinted>
  <dcterms:created xsi:type="dcterms:W3CDTF">2022-03-09T09:23:00Z</dcterms:created>
  <dcterms:modified xsi:type="dcterms:W3CDTF">2022-03-23T10:23:00Z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#ffff00,10,Calibri</vt:lpwstr>
  </property>
  <property fmtid="{D5CDD505-2E9C-101B-9397-08002B2CF9AE}" pid="4" name="ClassificationContentMarkingFooterText">
    <vt:lpwstr>Please treat this information as Official</vt:lpwstr>
  </property>
  <property fmtid="{D5CDD505-2E9C-101B-9397-08002B2CF9AE}" pid="5" name="ClassificationWatermarkShapeIds">
    <vt:lpwstr>4,5,6</vt:lpwstr>
  </property>
  <property fmtid="{D5CDD505-2E9C-101B-9397-08002B2CF9AE}" pid="6" name="ClassificationWatermarkFontProps">
    <vt:lpwstr>#000000,10,Calibri</vt:lpwstr>
  </property>
  <property fmtid="{D5CDD505-2E9C-101B-9397-08002B2CF9AE}" pid="7" name="ClassificationWatermarkText">
    <vt:lpwstr>Official</vt:lpwstr>
  </property>
  <property fmtid="{D5CDD505-2E9C-101B-9397-08002B2CF9AE}" pid="8" name="MSIP_Label_b40b5f3c-9b1b-4f7d-9339-6974d1767da9_Enabled">
    <vt:lpwstr>true</vt:lpwstr>
  </property>
  <property fmtid="{D5CDD505-2E9C-101B-9397-08002B2CF9AE}" pid="9" name="MSIP_Label_b40b5f3c-9b1b-4f7d-9339-6974d1767da9_SetDate">
    <vt:lpwstr>2021-09-03T14:38:24Z</vt:lpwstr>
  </property>
  <property fmtid="{D5CDD505-2E9C-101B-9397-08002B2CF9AE}" pid="10" name="MSIP_Label_b40b5f3c-9b1b-4f7d-9339-6974d1767da9_Method">
    <vt:lpwstr>Privileged</vt:lpwstr>
  </property>
  <property fmtid="{D5CDD505-2E9C-101B-9397-08002B2CF9AE}" pid="11" name="MSIP_Label_b40b5f3c-9b1b-4f7d-9339-6974d1767da9_Name">
    <vt:lpwstr>Official</vt:lpwstr>
  </property>
  <property fmtid="{D5CDD505-2E9C-101B-9397-08002B2CF9AE}" pid="12" name="MSIP_Label_b40b5f3c-9b1b-4f7d-9339-6974d1767da9_SiteId">
    <vt:lpwstr>2c282a6f-a0fc-4596-9ccc-2378f1b4cf1e</vt:lpwstr>
  </property>
  <property fmtid="{D5CDD505-2E9C-101B-9397-08002B2CF9AE}" pid="13" name="MSIP_Label_b40b5f3c-9b1b-4f7d-9339-6974d1767da9_ActionId">
    <vt:lpwstr>aeea930d-c613-41e7-afd2-5ceb870fce98</vt:lpwstr>
  </property>
  <property fmtid="{D5CDD505-2E9C-101B-9397-08002B2CF9AE}" pid="14" name="MSIP_Label_b40b5f3c-9b1b-4f7d-9339-6974d1767da9_ContentBits">
    <vt:lpwstr>6</vt:lpwstr>
  </property>
</Properties>
</file>