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5D1F8" w14:textId="77777777" w:rsidR="00E4202C" w:rsidRPr="005D1ACB" w:rsidRDefault="00E4202C" w:rsidP="00E4202C">
      <w:pPr>
        <w:rPr>
          <w:rFonts w:ascii="Arial" w:hAnsi="Arial" w:cs="Arial"/>
          <w:b/>
          <w:sz w:val="28"/>
          <w:szCs w:val="28"/>
        </w:rPr>
      </w:pPr>
      <w:r w:rsidRPr="005D1ACB">
        <w:rPr>
          <w:rFonts w:ascii="Arial" w:hAnsi="Arial" w:cs="Arial"/>
          <w:b/>
          <w:sz w:val="28"/>
          <w:szCs w:val="28"/>
        </w:rPr>
        <w:t>NORTH WEST REGIONAL COLLEGE</w:t>
      </w:r>
    </w:p>
    <w:p w14:paraId="05A5127C" w14:textId="77777777" w:rsidR="00E4202C" w:rsidRPr="005D1ACB" w:rsidRDefault="00E4202C" w:rsidP="00E4202C">
      <w:pPr>
        <w:rPr>
          <w:rFonts w:ascii="Arial" w:hAnsi="Arial" w:cs="Arial"/>
          <w:b/>
          <w:sz w:val="28"/>
          <w:szCs w:val="28"/>
        </w:rPr>
      </w:pPr>
      <w:r w:rsidRPr="005D1ACB">
        <w:rPr>
          <w:rFonts w:ascii="Arial" w:hAnsi="Arial" w:cs="Arial"/>
          <w:b/>
          <w:sz w:val="28"/>
          <w:szCs w:val="28"/>
        </w:rPr>
        <w:t xml:space="preserve">EQUALITY SCREENING REPORT </w:t>
      </w:r>
    </w:p>
    <w:p w14:paraId="28C2E09C" w14:textId="77777777" w:rsidR="00E4202C" w:rsidRDefault="00E4202C" w:rsidP="00E4202C">
      <w:pPr>
        <w:rPr>
          <w:rFonts w:ascii="Arial" w:hAnsi="Arial" w:cs="Arial"/>
          <w:b/>
          <w:sz w:val="28"/>
          <w:szCs w:val="28"/>
        </w:rPr>
      </w:pPr>
      <w:r w:rsidRPr="005D1ACB">
        <w:rPr>
          <w:rFonts w:ascii="Arial" w:hAnsi="Arial" w:cs="Arial"/>
          <w:b/>
          <w:sz w:val="28"/>
          <w:szCs w:val="28"/>
        </w:rPr>
        <w:t xml:space="preserve">POLICIES SCREENED IN QUARTER </w:t>
      </w:r>
      <w:r>
        <w:rPr>
          <w:rFonts w:ascii="Arial" w:hAnsi="Arial" w:cs="Arial"/>
          <w:b/>
          <w:sz w:val="28"/>
          <w:szCs w:val="28"/>
        </w:rPr>
        <w:t>4</w:t>
      </w:r>
      <w:r w:rsidRPr="005D1ACB">
        <w:rPr>
          <w:rFonts w:ascii="Arial" w:hAnsi="Arial" w:cs="Arial"/>
          <w:b/>
          <w:sz w:val="28"/>
          <w:szCs w:val="28"/>
        </w:rPr>
        <w:t xml:space="preserve"> (</w:t>
      </w:r>
      <w:r>
        <w:rPr>
          <w:rFonts w:ascii="Arial" w:hAnsi="Arial" w:cs="Arial"/>
          <w:b/>
          <w:sz w:val="28"/>
          <w:szCs w:val="28"/>
        </w:rPr>
        <w:t>January 2023 to March 2023</w:t>
      </w:r>
      <w:r w:rsidRPr="005D1ACB">
        <w:rPr>
          <w:rFonts w:ascii="Arial" w:hAnsi="Arial" w:cs="Arial"/>
          <w:b/>
          <w:sz w:val="28"/>
          <w:szCs w:val="28"/>
        </w:rPr>
        <w:t xml:space="preserve">) </w:t>
      </w:r>
    </w:p>
    <w:p w14:paraId="7CE0AC5C" w14:textId="66365568" w:rsidR="006420F1" w:rsidRDefault="006420F1"/>
    <w:tbl>
      <w:tblPr>
        <w:tblStyle w:val="TableGridLight"/>
        <w:tblW w:w="15501" w:type="dxa"/>
        <w:tblLook w:val="06A0" w:firstRow="1" w:lastRow="0" w:firstColumn="1" w:lastColumn="0" w:noHBand="1" w:noVBand="1"/>
      </w:tblPr>
      <w:tblGrid>
        <w:gridCol w:w="2689"/>
        <w:gridCol w:w="5583"/>
        <w:gridCol w:w="1530"/>
        <w:gridCol w:w="1817"/>
        <w:gridCol w:w="3882"/>
      </w:tblGrid>
      <w:tr w:rsidR="00E4202C" w:rsidRPr="00E4202C" w14:paraId="1558C3C0" w14:textId="77777777" w:rsidTr="00750941">
        <w:trPr>
          <w:tblHeader/>
        </w:trPr>
        <w:tc>
          <w:tcPr>
            <w:tcW w:w="2689" w:type="dxa"/>
            <w:shd w:val="clear" w:color="auto" w:fill="C5E0B3" w:themeFill="accent6" w:themeFillTint="66"/>
          </w:tcPr>
          <w:p w14:paraId="096E3D19" w14:textId="0A532612" w:rsidR="00E4202C" w:rsidRPr="00E4202C" w:rsidRDefault="00E4202C" w:rsidP="00E4202C">
            <w:pPr>
              <w:rPr>
                <w:rFonts w:ascii="Arial" w:hAnsi="Arial" w:cs="Arial"/>
                <w:b/>
                <w:bCs/>
                <w:sz w:val="28"/>
                <w:szCs w:val="28"/>
              </w:rPr>
            </w:pPr>
            <w:r w:rsidRPr="00E4202C">
              <w:rPr>
                <w:rFonts w:ascii="Arial" w:hAnsi="Arial" w:cs="Arial"/>
                <w:b/>
                <w:bCs/>
                <w:sz w:val="28"/>
                <w:szCs w:val="28"/>
              </w:rPr>
              <w:t>Policy title</w:t>
            </w:r>
          </w:p>
        </w:tc>
        <w:tc>
          <w:tcPr>
            <w:tcW w:w="5583" w:type="dxa"/>
            <w:shd w:val="clear" w:color="auto" w:fill="C5E0B3" w:themeFill="accent6" w:themeFillTint="66"/>
          </w:tcPr>
          <w:p w14:paraId="652AA765" w14:textId="32E8458D" w:rsidR="00E4202C" w:rsidRPr="00E4202C" w:rsidRDefault="00E4202C" w:rsidP="00E4202C">
            <w:pPr>
              <w:rPr>
                <w:rFonts w:ascii="Arial" w:hAnsi="Arial" w:cs="Arial"/>
                <w:b/>
                <w:bCs/>
                <w:sz w:val="28"/>
                <w:szCs w:val="28"/>
              </w:rPr>
            </w:pPr>
            <w:r w:rsidRPr="00E4202C">
              <w:rPr>
                <w:rFonts w:ascii="Arial" w:hAnsi="Arial" w:cs="Arial"/>
                <w:b/>
                <w:bCs/>
                <w:sz w:val="28"/>
                <w:szCs w:val="28"/>
              </w:rPr>
              <w:t>Aim of Policy</w:t>
            </w:r>
          </w:p>
        </w:tc>
        <w:tc>
          <w:tcPr>
            <w:tcW w:w="1530" w:type="dxa"/>
            <w:shd w:val="clear" w:color="auto" w:fill="C5E0B3" w:themeFill="accent6" w:themeFillTint="66"/>
          </w:tcPr>
          <w:p w14:paraId="3064BA30" w14:textId="13C0F0DE" w:rsidR="00E4202C" w:rsidRPr="00E4202C" w:rsidRDefault="00E4202C" w:rsidP="00E4202C">
            <w:pPr>
              <w:rPr>
                <w:rFonts w:ascii="Arial" w:hAnsi="Arial" w:cs="Arial"/>
                <w:b/>
                <w:bCs/>
                <w:sz w:val="28"/>
                <w:szCs w:val="28"/>
              </w:rPr>
            </w:pPr>
            <w:r w:rsidRPr="00E4202C">
              <w:rPr>
                <w:rFonts w:ascii="Arial" w:hAnsi="Arial" w:cs="Arial"/>
                <w:b/>
                <w:bCs/>
                <w:sz w:val="28"/>
                <w:szCs w:val="28"/>
              </w:rPr>
              <w:t>New / existing / revised policy</w:t>
            </w:r>
          </w:p>
        </w:tc>
        <w:tc>
          <w:tcPr>
            <w:tcW w:w="1817" w:type="dxa"/>
            <w:shd w:val="clear" w:color="auto" w:fill="C5E0B3" w:themeFill="accent6" w:themeFillTint="66"/>
          </w:tcPr>
          <w:p w14:paraId="23479DE1" w14:textId="6BE5226D" w:rsidR="00E4202C" w:rsidRPr="00E4202C" w:rsidRDefault="00E4202C" w:rsidP="00E4202C">
            <w:pPr>
              <w:rPr>
                <w:rFonts w:ascii="Arial" w:hAnsi="Arial" w:cs="Arial"/>
                <w:b/>
                <w:bCs/>
                <w:sz w:val="28"/>
                <w:szCs w:val="28"/>
              </w:rPr>
            </w:pPr>
            <w:r w:rsidRPr="00E4202C">
              <w:rPr>
                <w:rFonts w:ascii="Arial" w:hAnsi="Arial" w:cs="Arial"/>
                <w:b/>
                <w:bCs/>
                <w:sz w:val="28"/>
                <w:szCs w:val="28"/>
              </w:rPr>
              <w:t>Date of Screening</w:t>
            </w:r>
          </w:p>
        </w:tc>
        <w:tc>
          <w:tcPr>
            <w:tcW w:w="3882" w:type="dxa"/>
            <w:shd w:val="clear" w:color="auto" w:fill="C5E0B3" w:themeFill="accent6" w:themeFillTint="66"/>
          </w:tcPr>
          <w:p w14:paraId="0D807D6F" w14:textId="5066AF20" w:rsidR="00E4202C" w:rsidRPr="00E4202C" w:rsidRDefault="00E4202C" w:rsidP="00E4202C">
            <w:pPr>
              <w:rPr>
                <w:rFonts w:ascii="Arial" w:hAnsi="Arial" w:cs="Arial"/>
                <w:b/>
                <w:bCs/>
                <w:sz w:val="28"/>
                <w:szCs w:val="28"/>
              </w:rPr>
            </w:pPr>
            <w:r w:rsidRPr="00E4202C">
              <w:rPr>
                <w:rFonts w:ascii="Arial" w:hAnsi="Arial" w:cs="Arial"/>
                <w:b/>
                <w:bCs/>
                <w:sz w:val="28"/>
                <w:szCs w:val="28"/>
              </w:rPr>
              <w:t>Screening decision</w:t>
            </w:r>
          </w:p>
        </w:tc>
      </w:tr>
      <w:tr w:rsidR="00E4202C" w:rsidRPr="009C228A" w14:paraId="145EC476" w14:textId="77777777" w:rsidTr="00750941">
        <w:tc>
          <w:tcPr>
            <w:tcW w:w="2689" w:type="dxa"/>
            <w:shd w:val="clear" w:color="auto" w:fill="auto"/>
          </w:tcPr>
          <w:p w14:paraId="095A479D" w14:textId="65142786" w:rsidR="00E4202C" w:rsidRPr="00E4202C" w:rsidRDefault="00E4202C" w:rsidP="00E4202C">
            <w:pPr>
              <w:rPr>
                <w:rFonts w:ascii="Arial" w:hAnsi="Arial" w:cs="Arial"/>
                <w:bCs/>
                <w:sz w:val="28"/>
                <w:szCs w:val="28"/>
              </w:rPr>
            </w:pPr>
            <w:r w:rsidRPr="00E4202C">
              <w:rPr>
                <w:rFonts w:ascii="Arial" w:hAnsi="Arial" w:cs="Arial"/>
                <w:sz w:val="28"/>
                <w:szCs w:val="28"/>
              </w:rPr>
              <w:t>Public Information Guidelines</w:t>
            </w:r>
          </w:p>
        </w:tc>
        <w:tc>
          <w:tcPr>
            <w:tcW w:w="5583" w:type="dxa"/>
            <w:shd w:val="clear" w:color="auto" w:fill="auto"/>
          </w:tcPr>
          <w:p w14:paraId="677A019D" w14:textId="513D2D39" w:rsidR="00E4202C" w:rsidRPr="00E4202C" w:rsidRDefault="00E4202C" w:rsidP="00E4202C">
            <w:pPr>
              <w:rPr>
                <w:rFonts w:ascii="Arial" w:hAnsi="Arial" w:cs="Arial"/>
                <w:bCs/>
                <w:sz w:val="28"/>
                <w:szCs w:val="28"/>
              </w:rPr>
            </w:pPr>
            <w:r w:rsidRPr="00E4202C">
              <w:rPr>
                <w:rFonts w:ascii="Arial" w:hAnsi="Arial" w:cs="Arial"/>
                <w:sz w:val="28"/>
                <w:szCs w:val="28"/>
              </w:rPr>
              <w:t>The aim of the guidelines is to ensure the college publishes information which is accurate, fit for purpose, accessible, timely and legally compliant, to enable the public to engage with the College.  In an increasing number of cases, the publicising of this information is mandatory to meet statutory, regular or professional requirements</w:t>
            </w:r>
          </w:p>
        </w:tc>
        <w:tc>
          <w:tcPr>
            <w:tcW w:w="1530" w:type="dxa"/>
            <w:shd w:val="clear" w:color="auto" w:fill="auto"/>
          </w:tcPr>
          <w:p w14:paraId="4E9CCAFC" w14:textId="32FCD2FA" w:rsidR="00E4202C" w:rsidRPr="00E4202C" w:rsidRDefault="00E4202C" w:rsidP="00E4202C">
            <w:pPr>
              <w:rPr>
                <w:rFonts w:ascii="Arial" w:hAnsi="Arial" w:cs="Arial"/>
                <w:bCs/>
                <w:sz w:val="28"/>
                <w:szCs w:val="28"/>
              </w:rPr>
            </w:pPr>
            <w:r w:rsidRPr="00E4202C">
              <w:rPr>
                <w:rFonts w:ascii="Arial" w:hAnsi="Arial" w:cs="Arial"/>
                <w:sz w:val="28"/>
                <w:szCs w:val="28"/>
              </w:rPr>
              <w:t>Existing</w:t>
            </w:r>
          </w:p>
        </w:tc>
        <w:tc>
          <w:tcPr>
            <w:tcW w:w="1817" w:type="dxa"/>
            <w:shd w:val="clear" w:color="auto" w:fill="auto"/>
          </w:tcPr>
          <w:p w14:paraId="7024156A" w14:textId="2836908C" w:rsidR="00E4202C" w:rsidRPr="00E4202C" w:rsidRDefault="00E4202C" w:rsidP="00E4202C">
            <w:pPr>
              <w:rPr>
                <w:rFonts w:ascii="Arial" w:hAnsi="Arial" w:cs="Arial"/>
                <w:bCs/>
                <w:sz w:val="28"/>
                <w:szCs w:val="28"/>
              </w:rPr>
            </w:pPr>
            <w:r w:rsidRPr="00E4202C">
              <w:rPr>
                <w:rFonts w:ascii="Arial" w:hAnsi="Arial" w:cs="Arial"/>
                <w:sz w:val="28"/>
                <w:szCs w:val="28"/>
              </w:rPr>
              <w:t>3 January 2023</w:t>
            </w:r>
          </w:p>
        </w:tc>
        <w:tc>
          <w:tcPr>
            <w:tcW w:w="3882" w:type="dxa"/>
            <w:shd w:val="clear" w:color="auto" w:fill="auto"/>
          </w:tcPr>
          <w:p w14:paraId="3356649E" w14:textId="50540886" w:rsidR="00E4202C" w:rsidRPr="00E4202C" w:rsidRDefault="00E4202C" w:rsidP="00E4202C">
            <w:pPr>
              <w:rPr>
                <w:rFonts w:ascii="Arial" w:hAnsi="Arial" w:cs="Arial"/>
                <w:bCs/>
                <w:sz w:val="28"/>
                <w:szCs w:val="28"/>
              </w:rPr>
            </w:pPr>
            <w:r w:rsidRPr="00E4202C">
              <w:rPr>
                <w:rFonts w:ascii="Arial" w:hAnsi="Arial" w:cs="Arial"/>
                <w:sz w:val="28"/>
                <w:szCs w:val="28"/>
              </w:rPr>
              <w:t>The Policy has no impact on any of the Section 75 equality categories</w:t>
            </w:r>
          </w:p>
        </w:tc>
      </w:tr>
      <w:tr w:rsidR="00E4202C" w:rsidRPr="009C228A" w14:paraId="26196637" w14:textId="77777777" w:rsidTr="00750941">
        <w:tblPrEx>
          <w:tblLook w:val="04A0" w:firstRow="1" w:lastRow="0" w:firstColumn="1" w:lastColumn="0" w:noHBand="0" w:noVBand="1"/>
        </w:tblPrEx>
        <w:tc>
          <w:tcPr>
            <w:tcW w:w="2689" w:type="dxa"/>
          </w:tcPr>
          <w:p w14:paraId="2DBC0CB2" w14:textId="77777777" w:rsidR="00E4202C" w:rsidRPr="009C228A" w:rsidRDefault="00E4202C" w:rsidP="00BC24A5">
            <w:pPr>
              <w:rPr>
                <w:rFonts w:ascii="Arial" w:hAnsi="Arial" w:cs="Arial"/>
                <w:bCs/>
                <w:sz w:val="28"/>
                <w:szCs w:val="28"/>
              </w:rPr>
            </w:pPr>
            <w:r>
              <w:rPr>
                <w:rFonts w:ascii="Arial" w:hAnsi="Arial" w:cs="Arial"/>
                <w:bCs/>
                <w:sz w:val="28"/>
                <w:szCs w:val="28"/>
              </w:rPr>
              <w:t>Conflict of Interest Policy</w:t>
            </w:r>
          </w:p>
        </w:tc>
        <w:tc>
          <w:tcPr>
            <w:tcW w:w="5583" w:type="dxa"/>
          </w:tcPr>
          <w:p w14:paraId="223FC9DB" w14:textId="77777777" w:rsidR="00E4202C" w:rsidRPr="009C228A" w:rsidRDefault="00E4202C" w:rsidP="00BC24A5">
            <w:pPr>
              <w:rPr>
                <w:rFonts w:ascii="Arial" w:hAnsi="Arial" w:cs="Arial"/>
                <w:bCs/>
                <w:sz w:val="28"/>
                <w:szCs w:val="28"/>
              </w:rPr>
            </w:pPr>
            <w:r w:rsidRPr="009C228A">
              <w:rPr>
                <w:rFonts w:ascii="Arial" w:hAnsi="Arial" w:cs="Arial"/>
                <w:bCs/>
                <w:sz w:val="28"/>
                <w:szCs w:val="28"/>
              </w:rPr>
              <w:t>The objectives of this policy are to raise awareness with all staff and Governors about conflict of interest and to provide guidance for staff on the management of conflict of interest to ensure that staff and Governors are acting in the best interests of the College and its students at all times.</w:t>
            </w:r>
          </w:p>
          <w:p w14:paraId="042F8B16" w14:textId="77777777" w:rsidR="00E4202C" w:rsidRPr="009C228A" w:rsidRDefault="00E4202C" w:rsidP="00BC24A5">
            <w:pPr>
              <w:rPr>
                <w:rFonts w:ascii="Arial" w:hAnsi="Arial" w:cs="Arial"/>
                <w:bCs/>
                <w:sz w:val="28"/>
                <w:szCs w:val="28"/>
              </w:rPr>
            </w:pPr>
          </w:p>
        </w:tc>
        <w:tc>
          <w:tcPr>
            <w:tcW w:w="1530" w:type="dxa"/>
          </w:tcPr>
          <w:p w14:paraId="2EF78B22" w14:textId="77777777" w:rsidR="00E4202C" w:rsidRDefault="00E4202C" w:rsidP="00BC24A5">
            <w:pPr>
              <w:rPr>
                <w:rFonts w:ascii="Arial" w:hAnsi="Arial" w:cs="Arial"/>
                <w:bCs/>
                <w:sz w:val="28"/>
                <w:szCs w:val="28"/>
              </w:rPr>
            </w:pPr>
            <w:r>
              <w:rPr>
                <w:rFonts w:ascii="Arial" w:hAnsi="Arial" w:cs="Arial"/>
                <w:bCs/>
                <w:sz w:val="28"/>
                <w:szCs w:val="28"/>
              </w:rPr>
              <w:t>Revised</w:t>
            </w:r>
          </w:p>
        </w:tc>
        <w:tc>
          <w:tcPr>
            <w:tcW w:w="1817" w:type="dxa"/>
          </w:tcPr>
          <w:p w14:paraId="69A15D68" w14:textId="77777777" w:rsidR="00E4202C" w:rsidRDefault="00E4202C" w:rsidP="00BC24A5">
            <w:pPr>
              <w:rPr>
                <w:rFonts w:ascii="Arial" w:hAnsi="Arial" w:cs="Arial"/>
                <w:bCs/>
                <w:sz w:val="28"/>
                <w:szCs w:val="28"/>
              </w:rPr>
            </w:pPr>
            <w:r>
              <w:rPr>
                <w:rFonts w:ascii="Arial" w:hAnsi="Arial" w:cs="Arial"/>
                <w:bCs/>
                <w:sz w:val="28"/>
                <w:szCs w:val="28"/>
              </w:rPr>
              <w:t>16 January 2023</w:t>
            </w:r>
          </w:p>
        </w:tc>
        <w:tc>
          <w:tcPr>
            <w:tcW w:w="3882" w:type="dxa"/>
          </w:tcPr>
          <w:p w14:paraId="6E89589D" w14:textId="77777777" w:rsidR="00E4202C" w:rsidRPr="009C228A" w:rsidRDefault="00E4202C" w:rsidP="00BC24A5">
            <w:pPr>
              <w:rPr>
                <w:rFonts w:ascii="Arial" w:hAnsi="Arial" w:cs="Arial"/>
                <w:bCs/>
                <w:sz w:val="28"/>
                <w:szCs w:val="28"/>
              </w:rPr>
            </w:pPr>
            <w:r w:rsidRPr="009C228A">
              <w:rPr>
                <w:rFonts w:ascii="Arial" w:hAnsi="Arial" w:cs="Arial"/>
                <w:bCs/>
                <w:sz w:val="28"/>
                <w:szCs w:val="28"/>
              </w:rPr>
              <w:t>No impact on any of the Section 75 equality categories</w:t>
            </w:r>
          </w:p>
        </w:tc>
      </w:tr>
      <w:tr w:rsidR="00E4202C" w:rsidRPr="009C228A" w14:paraId="68C83D56" w14:textId="77777777" w:rsidTr="00750941">
        <w:tblPrEx>
          <w:tblLook w:val="04A0" w:firstRow="1" w:lastRow="0" w:firstColumn="1" w:lastColumn="0" w:noHBand="0" w:noVBand="1"/>
        </w:tblPrEx>
        <w:tc>
          <w:tcPr>
            <w:tcW w:w="2689" w:type="dxa"/>
          </w:tcPr>
          <w:p w14:paraId="69A99BBE" w14:textId="77777777" w:rsidR="00E4202C" w:rsidRPr="009C228A" w:rsidRDefault="00E4202C" w:rsidP="00BC24A5">
            <w:pPr>
              <w:rPr>
                <w:rFonts w:ascii="Arial" w:hAnsi="Arial" w:cs="Arial"/>
                <w:bCs/>
                <w:sz w:val="28"/>
                <w:szCs w:val="28"/>
              </w:rPr>
            </w:pPr>
            <w:r>
              <w:rPr>
                <w:rFonts w:ascii="Arial" w:hAnsi="Arial" w:cs="Arial"/>
                <w:bCs/>
                <w:sz w:val="28"/>
                <w:szCs w:val="28"/>
              </w:rPr>
              <w:t>Fraud (including Anti-fraud Policy</w:t>
            </w:r>
          </w:p>
        </w:tc>
        <w:tc>
          <w:tcPr>
            <w:tcW w:w="5583" w:type="dxa"/>
          </w:tcPr>
          <w:p w14:paraId="739F2BC6" w14:textId="55AB0BF8" w:rsidR="00E4202C" w:rsidRPr="009C228A" w:rsidRDefault="00E4202C" w:rsidP="005061D6">
            <w:pPr>
              <w:rPr>
                <w:rFonts w:ascii="Arial" w:hAnsi="Arial" w:cs="Arial"/>
                <w:bCs/>
                <w:sz w:val="28"/>
                <w:szCs w:val="28"/>
              </w:rPr>
            </w:pPr>
            <w:r w:rsidRPr="0028080E">
              <w:rPr>
                <w:rFonts w:ascii="Arial" w:hAnsi="Arial" w:cs="Arial"/>
                <w:bCs/>
                <w:sz w:val="28"/>
                <w:szCs w:val="28"/>
              </w:rPr>
              <w:t>To raise staff awareness of their responsibilities. To safeguard public resources against the risk of fraud.  The Policy outlines the College and Staff’s responsibilities in relation to fraud and also outlines the fraud response plan.</w:t>
            </w:r>
          </w:p>
        </w:tc>
        <w:tc>
          <w:tcPr>
            <w:tcW w:w="1530" w:type="dxa"/>
          </w:tcPr>
          <w:p w14:paraId="3C5F454A" w14:textId="5BF2358A" w:rsidR="00E4202C" w:rsidRDefault="005061D6" w:rsidP="00BC24A5">
            <w:pPr>
              <w:rPr>
                <w:rFonts w:ascii="Arial" w:hAnsi="Arial" w:cs="Arial"/>
                <w:bCs/>
                <w:sz w:val="28"/>
                <w:szCs w:val="28"/>
              </w:rPr>
            </w:pPr>
            <w:r>
              <w:rPr>
                <w:rFonts w:ascii="Arial" w:hAnsi="Arial" w:cs="Arial"/>
                <w:bCs/>
                <w:sz w:val="28"/>
                <w:szCs w:val="28"/>
              </w:rPr>
              <w:t>Revised</w:t>
            </w:r>
          </w:p>
        </w:tc>
        <w:tc>
          <w:tcPr>
            <w:tcW w:w="1817" w:type="dxa"/>
          </w:tcPr>
          <w:p w14:paraId="2DF1F330" w14:textId="77777777" w:rsidR="00E4202C" w:rsidRDefault="00E4202C" w:rsidP="00BC24A5">
            <w:pPr>
              <w:rPr>
                <w:rFonts w:ascii="Arial" w:hAnsi="Arial" w:cs="Arial"/>
                <w:bCs/>
                <w:sz w:val="28"/>
                <w:szCs w:val="28"/>
              </w:rPr>
            </w:pPr>
            <w:r>
              <w:rPr>
                <w:rFonts w:ascii="Arial" w:hAnsi="Arial" w:cs="Arial"/>
                <w:bCs/>
                <w:sz w:val="28"/>
                <w:szCs w:val="28"/>
              </w:rPr>
              <w:t>16 January 2023</w:t>
            </w:r>
          </w:p>
        </w:tc>
        <w:tc>
          <w:tcPr>
            <w:tcW w:w="3882" w:type="dxa"/>
          </w:tcPr>
          <w:p w14:paraId="360B40F8" w14:textId="13AA2506" w:rsidR="00E4202C" w:rsidRPr="009C228A" w:rsidRDefault="005061D6" w:rsidP="00BC24A5">
            <w:pPr>
              <w:rPr>
                <w:rFonts w:ascii="Arial" w:hAnsi="Arial" w:cs="Arial"/>
                <w:bCs/>
                <w:sz w:val="28"/>
                <w:szCs w:val="28"/>
              </w:rPr>
            </w:pPr>
            <w:r w:rsidRPr="005061D6">
              <w:rPr>
                <w:rFonts w:ascii="Arial" w:hAnsi="Arial" w:cs="Arial"/>
                <w:bCs/>
                <w:sz w:val="28"/>
                <w:szCs w:val="28"/>
              </w:rPr>
              <w:t>No impact on any of the Section 75 equality categories</w:t>
            </w:r>
          </w:p>
        </w:tc>
      </w:tr>
      <w:tr w:rsidR="00E4202C" w:rsidRPr="009C228A" w14:paraId="006A1738" w14:textId="77777777" w:rsidTr="00750941">
        <w:tblPrEx>
          <w:tblLook w:val="04A0" w:firstRow="1" w:lastRow="0" w:firstColumn="1" w:lastColumn="0" w:noHBand="0" w:noVBand="1"/>
        </w:tblPrEx>
        <w:tc>
          <w:tcPr>
            <w:tcW w:w="2689" w:type="dxa"/>
          </w:tcPr>
          <w:p w14:paraId="117FEB40" w14:textId="558624C2" w:rsidR="00E4202C" w:rsidRDefault="005061D6" w:rsidP="00BC24A5">
            <w:pPr>
              <w:rPr>
                <w:rFonts w:ascii="Arial" w:hAnsi="Arial" w:cs="Arial"/>
                <w:bCs/>
                <w:sz w:val="28"/>
                <w:szCs w:val="28"/>
              </w:rPr>
            </w:pPr>
            <w:r>
              <w:rPr>
                <w:rFonts w:ascii="Arial" w:hAnsi="Arial" w:cs="Arial"/>
                <w:bCs/>
                <w:sz w:val="28"/>
                <w:szCs w:val="28"/>
              </w:rPr>
              <w:lastRenderedPageBreak/>
              <w:t>Fraud Response Plan</w:t>
            </w:r>
          </w:p>
        </w:tc>
        <w:tc>
          <w:tcPr>
            <w:tcW w:w="5583" w:type="dxa"/>
          </w:tcPr>
          <w:p w14:paraId="7370A7DA" w14:textId="10089425" w:rsidR="00E4202C" w:rsidRPr="0028080E" w:rsidRDefault="005061D6" w:rsidP="00BC24A5">
            <w:pPr>
              <w:rPr>
                <w:rFonts w:ascii="Arial" w:hAnsi="Arial" w:cs="Arial"/>
                <w:bCs/>
                <w:sz w:val="28"/>
                <w:szCs w:val="28"/>
              </w:rPr>
            </w:pPr>
            <w:r w:rsidRPr="005061D6">
              <w:rPr>
                <w:rFonts w:ascii="Arial" w:hAnsi="Arial" w:cs="Arial"/>
                <w:bCs/>
                <w:sz w:val="28"/>
                <w:szCs w:val="28"/>
              </w:rPr>
              <w:t>To raise staff awareness of their responsibilities. To safeguard public resources against the risk of fraud.  The Policy outlines the College and Staff’s responsibilities in relation to fraud and also outlines the fraud response plan.</w:t>
            </w:r>
          </w:p>
        </w:tc>
        <w:tc>
          <w:tcPr>
            <w:tcW w:w="1530" w:type="dxa"/>
          </w:tcPr>
          <w:p w14:paraId="43E4397A" w14:textId="7D998A0E" w:rsidR="00E4202C" w:rsidRDefault="005061D6" w:rsidP="00BC24A5">
            <w:pPr>
              <w:rPr>
                <w:rFonts w:ascii="Arial" w:hAnsi="Arial" w:cs="Arial"/>
                <w:bCs/>
                <w:sz w:val="28"/>
                <w:szCs w:val="28"/>
              </w:rPr>
            </w:pPr>
            <w:r>
              <w:rPr>
                <w:rFonts w:ascii="Arial" w:hAnsi="Arial" w:cs="Arial"/>
                <w:bCs/>
                <w:sz w:val="28"/>
                <w:szCs w:val="28"/>
              </w:rPr>
              <w:t>Revised</w:t>
            </w:r>
          </w:p>
        </w:tc>
        <w:tc>
          <w:tcPr>
            <w:tcW w:w="1817" w:type="dxa"/>
          </w:tcPr>
          <w:p w14:paraId="257DCAB9" w14:textId="754C3271" w:rsidR="00E4202C" w:rsidRDefault="005061D6" w:rsidP="00BC24A5">
            <w:pPr>
              <w:rPr>
                <w:rFonts w:ascii="Arial" w:hAnsi="Arial" w:cs="Arial"/>
                <w:bCs/>
                <w:sz w:val="28"/>
                <w:szCs w:val="28"/>
              </w:rPr>
            </w:pPr>
            <w:r>
              <w:rPr>
                <w:rFonts w:ascii="Arial" w:hAnsi="Arial" w:cs="Arial"/>
                <w:bCs/>
                <w:sz w:val="28"/>
                <w:szCs w:val="28"/>
              </w:rPr>
              <w:t>16 January 2023</w:t>
            </w:r>
          </w:p>
        </w:tc>
        <w:tc>
          <w:tcPr>
            <w:tcW w:w="3882" w:type="dxa"/>
          </w:tcPr>
          <w:p w14:paraId="65D6E708" w14:textId="0326D321" w:rsidR="00E4202C" w:rsidRPr="009C228A" w:rsidRDefault="005061D6" w:rsidP="00BC24A5">
            <w:pPr>
              <w:rPr>
                <w:rFonts w:ascii="Arial" w:hAnsi="Arial" w:cs="Arial"/>
                <w:bCs/>
                <w:sz w:val="28"/>
                <w:szCs w:val="28"/>
              </w:rPr>
            </w:pPr>
            <w:r w:rsidRPr="005061D6">
              <w:rPr>
                <w:rFonts w:ascii="Arial" w:hAnsi="Arial" w:cs="Arial"/>
                <w:bCs/>
                <w:sz w:val="28"/>
                <w:szCs w:val="28"/>
              </w:rPr>
              <w:t>No impact on any of the Section 75 equality categories</w:t>
            </w:r>
          </w:p>
        </w:tc>
      </w:tr>
      <w:tr w:rsidR="00E4202C" w:rsidRPr="009C228A" w14:paraId="1258F641" w14:textId="77777777" w:rsidTr="00750941">
        <w:tblPrEx>
          <w:tblLook w:val="04A0" w:firstRow="1" w:lastRow="0" w:firstColumn="1" w:lastColumn="0" w:noHBand="0" w:noVBand="1"/>
        </w:tblPrEx>
        <w:tc>
          <w:tcPr>
            <w:tcW w:w="2689" w:type="dxa"/>
          </w:tcPr>
          <w:p w14:paraId="4E0C741B" w14:textId="4CB1EDBD" w:rsidR="00E4202C" w:rsidRDefault="005061D6" w:rsidP="00BC24A5">
            <w:pPr>
              <w:rPr>
                <w:rFonts w:ascii="Arial" w:hAnsi="Arial" w:cs="Arial"/>
                <w:bCs/>
                <w:sz w:val="28"/>
                <w:szCs w:val="28"/>
              </w:rPr>
            </w:pPr>
            <w:r>
              <w:rPr>
                <w:rFonts w:ascii="Arial" w:hAnsi="Arial" w:cs="Arial"/>
                <w:bCs/>
                <w:sz w:val="28"/>
                <w:szCs w:val="28"/>
              </w:rPr>
              <w:t>Gifts Policy</w:t>
            </w:r>
          </w:p>
        </w:tc>
        <w:tc>
          <w:tcPr>
            <w:tcW w:w="5583" w:type="dxa"/>
          </w:tcPr>
          <w:p w14:paraId="4ECF1749" w14:textId="7480AF3B" w:rsidR="00E4202C" w:rsidRPr="0028080E" w:rsidRDefault="005061D6" w:rsidP="00BC24A5">
            <w:pPr>
              <w:rPr>
                <w:rFonts w:ascii="Arial" w:hAnsi="Arial" w:cs="Arial"/>
                <w:bCs/>
                <w:sz w:val="28"/>
                <w:szCs w:val="28"/>
              </w:rPr>
            </w:pPr>
            <w:r w:rsidRPr="005061D6">
              <w:rPr>
                <w:rFonts w:ascii="Arial" w:hAnsi="Arial" w:cs="Arial"/>
                <w:bCs/>
                <w:sz w:val="28"/>
                <w:szCs w:val="28"/>
              </w:rPr>
              <w:t>To provide guidance in the reporting of Gifts and Hospitality received by the College.</w:t>
            </w:r>
          </w:p>
        </w:tc>
        <w:tc>
          <w:tcPr>
            <w:tcW w:w="1530" w:type="dxa"/>
          </w:tcPr>
          <w:p w14:paraId="79BD1F70" w14:textId="739FED76" w:rsidR="00E4202C" w:rsidRDefault="005061D6" w:rsidP="00BC24A5">
            <w:pPr>
              <w:rPr>
                <w:rFonts w:ascii="Arial" w:hAnsi="Arial" w:cs="Arial"/>
                <w:bCs/>
                <w:sz w:val="28"/>
                <w:szCs w:val="28"/>
              </w:rPr>
            </w:pPr>
            <w:r>
              <w:rPr>
                <w:rFonts w:ascii="Arial" w:hAnsi="Arial" w:cs="Arial"/>
                <w:bCs/>
                <w:sz w:val="28"/>
                <w:szCs w:val="28"/>
              </w:rPr>
              <w:t>Revised</w:t>
            </w:r>
          </w:p>
        </w:tc>
        <w:tc>
          <w:tcPr>
            <w:tcW w:w="1817" w:type="dxa"/>
          </w:tcPr>
          <w:p w14:paraId="676BF64F" w14:textId="17602C37" w:rsidR="00E4202C" w:rsidRDefault="005061D6" w:rsidP="00BC24A5">
            <w:pPr>
              <w:rPr>
                <w:rFonts w:ascii="Arial" w:hAnsi="Arial" w:cs="Arial"/>
                <w:bCs/>
                <w:sz w:val="28"/>
                <w:szCs w:val="28"/>
              </w:rPr>
            </w:pPr>
            <w:r>
              <w:rPr>
                <w:rFonts w:ascii="Arial" w:hAnsi="Arial" w:cs="Arial"/>
                <w:bCs/>
                <w:sz w:val="28"/>
                <w:szCs w:val="28"/>
              </w:rPr>
              <w:t>17 January 2023</w:t>
            </w:r>
          </w:p>
        </w:tc>
        <w:tc>
          <w:tcPr>
            <w:tcW w:w="3882" w:type="dxa"/>
          </w:tcPr>
          <w:p w14:paraId="33D520D2" w14:textId="4AA398B4" w:rsidR="00E4202C" w:rsidRPr="009C228A" w:rsidRDefault="005061D6" w:rsidP="00BC24A5">
            <w:pPr>
              <w:rPr>
                <w:rFonts w:ascii="Arial" w:hAnsi="Arial" w:cs="Arial"/>
                <w:bCs/>
                <w:sz w:val="28"/>
                <w:szCs w:val="28"/>
              </w:rPr>
            </w:pPr>
            <w:r w:rsidRPr="005061D6">
              <w:rPr>
                <w:rFonts w:ascii="Arial" w:hAnsi="Arial" w:cs="Arial"/>
                <w:bCs/>
                <w:sz w:val="28"/>
                <w:szCs w:val="28"/>
              </w:rPr>
              <w:t>No impact on any of the Section 75 equality categories</w:t>
            </w:r>
          </w:p>
        </w:tc>
      </w:tr>
      <w:tr w:rsidR="00E4202C" w:rsidRPr="00537FF3" w14:paraId="70D200F4" w14:textId="77777777" w:rsidTr="00750941">
        <w:tblPrEx>
          <w:tblLook w:val="04A0" w:firstRow="1" w:lastRow="0" w:firstColumn="1" w:lastColumn="0" w:noHBand="0" w:noVBand="1"/>
        </w:tblPrEx>
        <w:tc>
          <w:tcPr>
            <w:tcW w:w="2689" w:type="dxa"/>
          </w:tcPr>
          <w:p w14:paraId="4E48022D" w14:textId="77777777" w:rsidR="00E4202C" w:rsidRDefault="00E4202C" w:rsidP="00BC24A5">
            <w:pPr>
              <w:rPr>
                <w:rFonts w:ascii="Arial" w:hAnsi="Arial" w:cs="Arial"/>
                <w:bCs/>
                <w:sz w:val="28"/>
                <w:szCs w:val="28"/>
              </w:rPr>
            </w:pPr>
            <w:r>
              <w:rPr>
                <w:rFonts w:ascii="Arial" w:hAnsi="Arial" w:cs="Arial"/>
                <w:bCs/>
                <w:sz w:val="28"/>
                <w:szCs w:val="28"/>
              </w:rPr>
              <w:t>Transgender Equality Statement</w:t>
            </w:r>
          </w:p>
        </w:tc>
        <w:tc>
          <w:tcPr>
            <w:tcW w:w="5583" w:type="dxa"/>
          </w:tcPr>
          <w:p w14:paraId="3B88497F" w14:textId="77777777" w:rsidR="00E4202C" w:rsidRPr="00537FF3" w:rsidRDefault="00E4202C" w:rsidP="00BC24A5">
            <w:pPr>
              <w:rPr>
                <w:rFonts w:ascii="Arial" w:eastAsia="Times New Roman" w:hAnsi="Arial" w:cs="Arial"/>
                <w:sz w:val="28"/>
                <w:szCs w:val="28"/>
              </w:rPr>
            </w:pPr>
            <w:r w:rsidRPr="009C228A">
              <w:rPr>
                <w:rFonts w:ascii="Arial" w:eastAsia="Times New Roman" w:hAnsi="Arial" w:cs="Arial"/>
                <w:sz w:val="28"/>
                <w:szCs w:val="28"/>
              </w:rPr>
              <w:t>This statement has been prepared to acknowledge that there can be differences between physical sex and gender identity/expression.  The College will treat all students with respect, and will seek to provide a positive working and learning environment free from discrimination, harassment or victimisation</w:t>
            </w:r>
          </w:p>
        </w:tc>
        <w:tc>
          <w:tcPr>
            <w:tcW w:w="1530" w:type="dxa"/>
          </w:tcPr>
          <w:p w14:paraId="76785C1C" w14:textId="77777777" w:rsidR="00E4202C" w:rsidRDefault="00E4202C" w:rsidP="00BC24A5">
            <w:pPr>
              <w:rPr>
                <w:rFonts w:ascii="Arial" w:hAnsi="Arial" w:cs="Arial"/>
                <w:bCs/>
                <w:sz w:val="28"/>
                <w:szCs w:val="28"/>
              </w:rPr>
            </w:pPr>
            <w:r>
              <w:rPr>
                <w:rFonts w:ascii="Arial" w:hAnsi="Arial" w:cs="Arial"/>
                <w:bCs/>
                <w:sz w:val="28"/>
                <w:szCs w:val="28"/>
              </w:rPr>
              <w:t>Existing</w:t>
            </w:r>
          </w:p>
        </w:tc>
        <w:tc>
          <w:tcPr>
            <w:tcW w:w="1817" w:type="dxa"/>
          </w:tcPr>
          <w:p w14:paraId="02728940" w14:textId="77777777" w:rsidR="00E4202C" w:rsidRDefault="00E4202C" w:rsidP="00BC24A5">
            <w:pPr>
              <w:rPr>
                <w:rFonts w:ascii="Arial" w:hAnsi="Arial" w:cs="Arial"/>
                <w:bCs/>
                <w:sz w:val="28"/>
                <w:szCs w:val="28"/>
              </w:rPr>
            </w:pPr>
            <w:r>
              <w:rPr>
                <w:rFonts w:ascii="Arial" w:hAnsi="Arial" w:cs="Arial"/>
                <w:bCs/>
                <w:sz w:val="28"/>
                <w:szCs w:val="28"/>
              </w:rPr>
              <w:t>27 January 2023</w:t>
            </w:r>
          </w:p>
        </w:tc>
        <w:tc>
          <w:tcPr>
            <w:tcW w:w="3882" w:type="dxa"/>
          </w:tcPr>
          <w:p w14:paraId="7F07FF17" w14:textId="77777777" w:rsidR="00E4202C" w:rsidRPr="00537FF3" w:rsidRDefault="00E4202C" w:rsidP="00BC24A5">
            <w:pPr>
              <w:rPr>
                <w:rFonts w:ascii="Arial" w:eastAsia="Times New Roman" w:hAnsi="Arial" w:cs="Arial"/>
                <w:sz w:val="28"/>
                <w:szCs w:val="28"/>
              </w:rPr>
            </w:pPr>
            <w:r w:rsidRPr="009C228A">
              <w:rPr>
                <w:rFonts w:ascii="Arial" w:eastAsia="Times New Roman" w:hAnsi="Arial" w:cs="Arial"/>
                <w:sz w:val="28"/>
                <w:szCs w:val="28"/>
              </w:rPr>
              <w:t>Statement does not have any adverse impact on individuals as those who are transgender or have a fluid identity will be supported at the College</w:t>
            </w:r>
          </w:p>
        </w:tc>
      </w:tr>
      <w:tr w:rsidR="006C18D1" w:rsidRPr="00537FF3" w14:paraId="66E4696D" w14:textId="77777777" w:rsidTr="00750941">
        <w:tblPrEx>
          <w:tblLook w:val="04A0" w:firstRow="1" w:lastRow="0" w:firstColumn="1" w:lastColumn="0" w:noHBand="0" w:noVBand="1"/>
        </w:tblPrEx>
        <w:tc>
          <w:tcPr>
            <w:tcW w:w="2689" w:type="dxa"/>
          </w:tcPr>
          <w:p w14:paraId="1F162F73" w14:textId="0F040EF0" w:rsidR="006C18D1" w:rsidRDefault="006C18D1" w:rsidP="00BC24A5">
            <w:pPr>
              <w:rPr>
                <w:rFonts w:ascii="Arial" w:hAnsi="Arial" w:cs="Arial"/>
                <w:bCs/>
                <w:sz w:val="28"/>
                <w:szCs w:val="28"/>
              </w:rPr>
            </w:pPr>
            <w:r>
              <w:rPr>
                <w:rFonts w:ascii="Arial" w:hAnsi="Arial" w:cs="Arial"/>
                <w:bCs/>
                <w:sz w:val="28"/>
                <w:szCs w:val="28"/>
              </w:rPr>
              <w:t>Data Subject Rights Procedure</w:t>
            </w:r>
          </w:p>
        </w:tc>
        <w:tc>
          <w:tcPr>
            <w:tcW w:w="5583" w:type="dxa"/>
          </w:tcPr>
          <w:p w14:paraId="31270673" w14:textId="4E683919" w:rsidR="006C18D1" w:rsidRPr="009C228A" w:rsidRDefault="006C18D1" w:rsidP="00BC24A5">
            <w:pPr>
              <w:rPr>
                <w:rFonts w:ascii="Arial" w:eastAsia="Times New Roman" w:hAnsi="Arial" w:cs="Arial"/>
                <w:sz w:val="28"/>
                <w:szCs w:val="28"/>
              </w:rPr>
            </w:pPr>
            <w:r w:rsidRPr="006C18D1">
              <w:rPr>
                <w:rFonts w:ascii="Arial" w:eastAsia="Times New Roman" w:hAnsi="Arial" w:cs="Arial"/>
                <w:sz w:val="28"/>
                <w:szCs w:val="28"/>
              </w:rPr>
              <w:t xml:space="preserve">North West Regional College must process many categories of personal data to provide education, training and employment. It regards the lawful and correct treatment of personal information as imperative to successful operations and to maintaining confidence between all data subjects and ourselves. We ensure that our organisation treats information it processes lawfully and correctly.  </w:t>
            </w:r>
            <w:r w:rsidRPr="006C18D1">
              <w:rPr>
                <w:rFonts w:ascii="Arial" w:eastAsia="Times New Roman" w:hAnsi="Arial" w:cs="Arial"/>
                <w:sz w:val="28"/>
                <w:szCs w:val="28"/>
              </w:rPr>
              <w:lastRenderedPageBreak/>
              <w:t xml:space="preserve">Therefore this Procedure provides guidance on the process to be followed when a Data Subject makes a request in relation to his/her Rights as per UK General Data Protection Regulations (‘UK GDPR’).   </w:t>
            </w:r>
          </w:p>
        </w:tc>
        <w:tc>
          <w:tcPr>
            <w:tcW w:w="1530" w:type="dxa"/>
          </w:tcPr>
          <w:p w14:paraId="412F420B" w14:textId="5FE9C1F4" w:rsidR="006C18D1" w:rsidRDefault="006C18D1" w:rsidP="00BC24A5">
            <w:pPr>
              <w:rPr>
                <w:rFonts w:ascii="Arial" w:hAnsi="Arial" w:cs="Arial"/>
                <w:bCs/>
                <w:sz w:val="28"/>
                <w:szCs w:val="28"/>
              </w:rPr>
            </w:pPr>
            <w:r>
              <w:rPr>
                <w:rFonts w:ascii="Arial" w:hAnsi="Arial" w:cs="Arial"/>
                <w:bCs/>
                <w:sz w:val="28"/>
                <w:szCs w:val="28"/>
              </w:rPr>
              <w:lastRenderedPageBreak/>
              <w:t>Revised</w:t>
            </w:r>
          </w:p>
        </w:tc>
        <w:tc>
          <w:tcPr>
            <w:tcW w:w="1817" w:type="dxa"/>
          </w:tcPr>
          <w:p w14:paraId="4D0578C9" w14:textId="61B218EF" w:rsidR="006C18D1" w:rsidRDefault="006C18D1" w:rsidP="00BC24A5">
            <w:pPr>
              <w:rPr>
                <w:rFonts w:ascii="Arial" w:hAnsi="Arial" w:cs="Arial"/>
                <w:bCs/>
                <w:sz w:val="28"/>
                <w:szCs w:val="28"/>
              </w:rPr>
            </w:pPr>
            <w:r>
              <w:rPr>
                <w:rFonts w:ascii="Arial" w:hAnsi="Arial" w:cs="Arial"/>
                <w:bCs/>
                <w:sz w:val="28"/>
                <w:szCs w:val="28"/>
              </w:rPr>
              <w:t>9 February 2023</w:t>
            </w:r>
          </w:p>
        </w:tc>
        <w:tc>
          <w:tcPr>
            <w:tcW w:w="3882" w:type="dxa"/>
          </w:tcPr>
          <w:p w14:paraId="65F79A39" w14:textId="2D5A2555" w:rsidR="006C18D1" w:rsidRPr="009C228A" w:rsidRDefault="006C18D1" w:rsidP="00BC24A5">
            <w:pPr>
              <w:rPr>
                <w:rFonts w:ascii="Arial" w:eastAsia="Times New Roman" w:hAnsi="Arial" w:cs="Arial"/>
                <w:sz w:val="28"/>
                <w:szCs w:val="28"/>
              </w:rPr>
            </w:pPr>
            <w:r w:rsidRPr="006C18D1">
              <w:rPr>
                <w:rFonts w:ascii="Arial" w:eastAsia="Times New Roman" w:hAnsi="Arial" w:cs="Arial"/>
                <w:sz w:val="28"/>
                <w:szCs w:val="28"/>
              </w:rPr>
              <w:t>The Policy has no impact on any of the Section 75 equality categories</w:t>
            </w:r>
          </w:p>
        </w:tc>
      </w:tr>
      <w:tr w:rsidR="00A53210" w:rsidRPr="00537FF3" w14:paraId="4A72DDB2" w14:textId="77777777" w:rsidTr="00750941">
        <w:tblPrEx>
          <w:tblLook w:val="04A0" w:firstRow="1" w:lastRow="0" w:firstColumn="1" w:lastColumn="0" w:noHBand="0" w:noVBand="1"/>
        </w:tblPrEx>
        <w:tc>
          <w:tcPr>
            <w:tcW w:w="2689" w:type="dxa"/>
          </w:tcPr>
          <w:p w14:paraId="0A7C726F" w14:textId="0818D8A5" w:rsidR="00A53210" w:rsidRDefault="00A53210" w:rsidP="00BC24A5">
            <w:pPr>
              <w:rPr>
                <w:rFonts w:ascii="Arial" w:hAnsi="Arial" w:cs="Arial"/>
                <w:bCs/>
                <w:sz w:val="28"/>
                <w:szCs w:val="28"/>
              </w:rPr>
            </w:pPr>
            <w:r>
              <w:rPr>
                <w:rFonts w:ascii="Arial" w:hAnsi="Arial" w:cs="Arial"/>
                <w:bCs/>
                <w:sz w:val="28"/>
                <w:szCs w:val="28"/>
              </w:rPr>
              <w:t>Disposal of IT Equipment</w:t>
            </w:r>
          </w:p>
        </w:tc>
        <w:tc>
          <w:tcPr>
            <w:tcW w:w="5583" w:type="dxa"/>
          </w:tcPr>
          <w:p w14:paraId="222FF4A7" w14:textId="77777777" w:rsidR="00A53210" w:rsidRPr="00A53210" w:rsidRDefault="00A53210" w:rsidP="00A53210">
            <w:pPr>
              <w:rPr>
                <w:rFonts w:ascii="Arial" w:eastAsia="Times New Roman" w:hAnsi="Arial" w:cs="Arial"/>
                <w:sz w:val="28"/>
                <w:szCs w:val="28"/>
              </w:rPr>
            </w:pPr>
            <w:r w:rsidRPr="00A53210">
              <w:rPr>
                <w:rFonts w:ascii="Arial" w:eastAsia="Times New Roman" w:hAnsi="Arial" w:cs="Arial"/>
                <w:sz w:val="28"/>
                <w:szCs w:val="28"/>
              </w:rPr>
              <w:t>The purpose of this policy is to describe what steps must be taken to ensure the safe disposal of College IT Equipment and that data residing on legacy equipment is securely removed prior to disposal.</w:t>
            </w:r>
          </w:p>
          <w:p w14:paraId="633EB96E" w14:textId="77777777" w:rsidR="00A53210" w:rsidRPr="006C18D1" w:rsidRDefault="00A53210" w:rsidP="00BC24A5">
            <w:pPr>
              <w:rPr>
                <w:rFonts w:ascii="Arial" w:eastAsia="Times New Roman" w:hAnsi="Arial" w:cs="Arial"/>
                <w:sz w:val="28"/>
                <w:szCs w:val="28"/>
              </w:rPr>
            </w:pPr>
          </w:p>
        </w:tc>
        <w:tc>
          <w:tcPr>
            <w:tcW w:w="1530" w:type="dxa"/>
          </w:tcPr>
          <w:p w14:paraId="785C9822" w14:textId="3ADEF9F5" w:rsidR="00A53210" w:rsidRDefault="00A53210" w:rsidP="00BC24A5">
            <w:pPr>
              <w:rPr>
                <w:rFonts w:ascii="Arial" w:hAnsi="Arial" w:cs="Arial"/>
                <w:bCs/>
                <w:sz w:val="28"/>
                <w:szCs w:val="28"/>
              </w:rPr>
            </w:pPr>
            <w:r>
              <w:rPr>
                <w:rFonts w:ascii="Arial" w:hAnsi="Arial" w:cs="Arial"/>
                <w:bCs/>
                <w:sz w:val="28"/>
                <w:szCs w:val="28"/>
              </w:rPr>
              <w:t>New</w:t>
            </w:r>
          </w:p>
        </w:tc>
        <w:tc>
          <w:tcPr>
            <w:tcW w:w="1817" w:type="dxa"/>
          </w:tcPr>
          <w:p w14:paraId="13455521" w14:textId="4AF6A38B" w:rsidR="00A53210" w:rsidRDefault="00A53210" w:rsidP="00BC24A5">
            <w:pPr>
              <w:rPr>
                <w:rFonts w:ascii="Arial" w:hAnsi="Arial" w:cs="Arial"/>
                <w:bCs/>
                <w:sz w:val="28"/>
                <w:szCs w:val="28"/>
              </w:rPr>
            </w:pPr>
            <w:r>
              <w:rPr>
                <w:rFonts w:ascii="Arial" w:hAnsi="Arial" w:cs="Arial"/>
                <w:bCs/>
                <w:sz w:val="28"/>
                <w:szCs w:val="28"/>
              </w:rPr>
              <w:t>14 February 2023</w:t>
            </w:r>
          </w:p>
        </w:tc>
        <w:tc>
          <w:tcPr>
            <w:tcW w:w="3882" w:type="dxa"/>
          </w:tcPr>
          <w:p w14:paraId="65DF815E" w14:textId="75DF5C5A" w:rsidR="00A53210" w:rsidRPr="006C18D1" w:rsidRDefault="00A53210" w:rsidP="00BC24A5">
            <w:pPr>
              <w:rPr>
                <w:rFonts w:ascii="Arial" w:eastAsia="Times New Roman" w:hAnsi="Arial" w:cs="Arial"/>
                <w:sz w:val="28"/>
                <w:szCs w:val="28"/>
              </w:rPr>
            </w:pPr>
            <w:r w:rsidRPr="00A53210">
              <w:rPr>
                <w:rFonts w:ascii="Arial" w:eastAsia="Times New Roman" w:hAnsi="Arial" w:cs="Arial"/>
                <w:sz w:val="28"/>
                <w:szCs w:val="28"/>
              </w:rPr>
              <w:t>No as policy is guidance to explain the need for secure IT disposal regardless of equality category</w:t>
            </w:r>
          </w:p>
        </w:tc>
      </w:tr>
      <w:tr w:rsidR="00A53210" w:rsidRPr="00537FF3" w14:paraId="2A8CEC59" w14:textId="77777777" w:rsidTr="00750941">
        <w:tblPrEx>
          <w:tblLook w:val="04A0" w:firstRow="1" w:lastRow="0" w:firstColumn="1" w:lastColumn="0" w:noHBand="0" w:noVBand="1"/>
        </w:tblPrEx>
        <w:tc>
          <w:tcPr>
            <w:tcW w:w="2689" w:type="dxa"/>
          </w:tcPr>
          <w:p w14:paraId="6E5F209D" w14:textId="62B23C46" w:rsidR="00A53210" w:rsidRDefault="00A53210" w:rsidP="00BC24A5">
            <w:pPr>
              <w:rPr>
                <w:rFonts w:ascii="Arial" w:hAnsi="Arial" w:cs="Arial"/>
                <w:bCs/>
                <w:sz w:val="28"/>
                <w:szCs w:val="28"/>
              </w:rPr>
            </w:pPr>
            <w:r w:rsidRPr="00A53210">
              <w:rPr>
                <w:rFonts w:ascii="Arial" w:hAnsi="Arial" w:cs="Arial"/>
                <w:bCs/>
                <w:sz w:val="28"/>
                <w:szCs w:val="28"/>
              </w:rPr>
              <w:t>Physical Environmental Security Policy</w:t>
            </w:r>
          </w:p>
        </w:tc>
        <w:tc>
          <w:tcPr>
            <w:tcW w:w="5583" w:type="dxa"/>
          </w:tcPr>
          <w:p w14:paraId="52732344" w14:textId="21BA1EAE" w:rsidR="00A53210" w:rsidRPr="00A53210" w:rsidRDefault="00A53210" w:rsidP="00A53210">
            <w:pPr>
              <w:rPr>
                <w:rFonts w:ascii="Arial" w:eastAsia="Times New Roman" w:hAnsi="Arial" w:cs="Arial"/>
                <w:sz w:val="28"/>
                <w:szCs w:val="28"/>
              </w:rPr>
            </w:pPr>
            <w:r w:rsidRPr="00A53210">
              <w:rPr>
                <w:rFonts w:ascii="Arial" w:eastAsia="Times New Roman" w:hAnsi="Arial" w:cs="Arial"/>
                <w:sz w:val="28"/>
                <w:szCs w:val="28"/>
              </w:rPr>
              <w:t>The purpose of this policy is to describe what clauses are necessary and steps which must be taken to ensure the security of College information across all IT Services datacentres, offices and comms rooms as well as all “Secure Office” accommodation protected by SALTO Access Control</w:t>
            </w:r>
          </w:p>
        </w:tc>
        <w:tc>
          <w:tcPr>
            <w:tcW w:w="1530" w:type="dxa"/>
          </w:tcPr>
          <w:p w14:paraId="261CC7D7" w14:textId="75B93EFF" w:rsidR="00A53210" w:rsidRDefault="00A53210" w:rsidP="00BC24A5">
            <w:pPr>
              <w:rPr>
                <w:rFonts w:ascii="Arial" w:hAnsi="Arial" w:cs="Arial"/>
                <w:bCs/>
                <w:sz w:val="28"/>
                <w:szCs w:val="28"/>
              </w:rPr>
            </w:pPr>
            <w:r>
              <w:rPr>
                <w:rFonts w:ascii="Arial" w:hAnsi="Arial" w:cs="Arial"/>
                <w:bCs/>
                <w:sz w:val="28"/>
                <w:szCs w:val="28"/>
              </w:rPr>
              <w:t>New</w:t>
            </w:r>
          </w:p>
        </w:tc>
        <w:tc>
          <w:tcPr>
            <w:tcW w:w="1817" w:type="dxa"/>
          </w:tcPr>
          <w:p w14:paraId="392B384E" w14:textId="7BB9AD8C" w:rsidR="00A53210" w:rsidRDefault="00A53210" w:rsidP="00BC24A5">
            <w:pPr>
              <w:rPr>
                <w:rFonts w:ascii="Arial" w:hAnsi="Arial" w:cs="Arial"/>
                <w:bCs/>
                <w:sz w:val="28"/>
                <w:szCs w:val="28"/>
              </w:rPr>
            </w:pPr>
            <w:r>
              <w:rPr>
                <w:rFonts w:ascii="Arial" w:hAnsi="Arial" w:cs="Arial"/>
                <w:bCs/>
                <w:sz w:val="28"/>
                <w:szCs w:val="28"/>
              </w:rPr>
              <w:t>14 February 2023</w:t>
            </w:r>
          </w:p>
        </w:tc>
        <w:tc>
          <w:tcPr>
            <w:tcW w:w="3882" w:type="dxa"/>
          </w:tcPr>
          <w:p w14:paraId="4A1BE0D3" w14:textId="6A8FBEC1" w:rsidR="00A53210" w:rsidRPr="00A53210" w:rsidRDefault="00A53210" w:rsidP="00BC24A5">
            <w:pPr>
              <w:rPr>
                <w:rFonts w:ascii="Arial" w:eastAsia="Times New Roman" w:hAnsi="Arial" w:cs="Arial"/>
                <w:sz w:val="28"/>
                <w:szCs w:val="28"/>
              </w:rPr>
            </w:pPr>
            <w:r w:rsidRPr="00A53210">
              <w:rPr>
                <w:rFonts w:ascii="Arial" w:eastAsia="Times New Roman" w:hAnsi="Arial" w:cs="Arial"/>
                <w:sz w:val="28"/>
                <w:szCs w:val="28"/>
              </w:rPr>
              <w:t>No as policy is guidance to explain the need for Secure Accommodation and Information Security regardless of equality category</w:t>
            </w:r>
          </w:p>
        </w:tc>
      </w:tr>
      <w:tr w:rsidR="0039424B" w:rsidRPr="00537FF3" w14:paraId="643D1F74" w14:textId="77777777" w:rsidTr="00750941">
        <w:tblPrEx>
          <w:tblLook w:val="04A0" w:firstRow="1" w:lastRow="0" w:firstColumn="1" w:lastColumn="0" w:noHBand="0" w:noVBand="1"/>
        </w:tblPrEx>
        <w:tc>
          <w:tcPr>
            <w:tcW w:w="2689" w:type="dxa"/>
          </w:tcPr>
          <w:p w14:paraId="4A206165" w14:textId="09A517F2" w:rsidR="0039424B" w:rsidRPr="00A53210" w:rsidRDefault="0039424B" w:rsidP="00BC24A5">
            <w:pPr>
              <w:rPr>
                <w:rFonts w:ascii="Arial" w:hAnsi="Arial" w:cs="Arial"/>
                <w:bCs/>
                <w:sz w:val="28"/>
                <w:szCs w:val="28"/>
              </w:rPr>
            </w:pPr>
            <w:r>
              <w:rPr>
                <w:rFonts w:ascii="Arial" w:hAnsi="Arial" w:cs="Arial"/>
                <w:bCs/>
                <w:sz w:val="28"/>
                <w:szCs w:val="28"/>
              </w:rPr>
              <w:t>Emergency Incident Plan</w:t>
            </w:r>
          </w:p>
        </w:tc>
        <w:tc>
          <w:tcPr>
            <w:tcW w:w="5583" w:type="dxa"/>
          </w:tcPr>
          <w:p w14:paraId="042112AC" w14:textId="6EC339EB" w:rsidR="00505643" w:rsidRPr="00505643" w:rsidRDefault="00505643" w:rsidP="00505643">
            <w:pPr>
              <w:rPr>
                <w:rFonts w:ascii="Arial" w:eastAsia="Times New Roman" w:hAnsi="Arial" w:cs="Arial"/>
                <w:sz w:val="28"/>
                <w:szCs w:val="28"/>
              </w:rPr>
            </w:pPr>
            <w:r>
              <w:rPr>
                <w:rFonts w:ascii="Arial" w:eastAsia="Times New Roman" w:hAnsi="Arial" w:cs="Arial"/>
                <w:sz w:val="28"/>
                <w:szCs w:val="28"/>
              </w:rPr>
              <w:t>To p</w:t>
            </w:r>
            <w:r w:rsidRPr="00505643">
              <w:rPr>
                <w:rFonts w:ascii="Arial" w:eastAsia="Times New Roman" w:hAnsi="Arial" w:cs="Arial"/>
                <w:sz w:val="28"/>
                <w:szCs w:val="28"/>
              </w:rPr>
              <w:t>resent the College’s commitment to a healthy and safe working</w:t>
            </w:r>
            <w:r>
              <w:rPr>
                <w:rFonts w:ascii="Arial" w:eastAsia="Times New Roman" w:hAnsi="Arial" w:cs="Arial"/>
                <w:sz w:val="28"/>
                <w:szCs w:val="28"/>
              </w:rPr>
              <w:t xml:space="preserve"> </w:t>
            </w:r>
            <w:r w:rsidRPr="00505643">
              <w:rPr>
                <w:rFonts w:ascii="Arial" w:eastAsia="Times New Roman" w:hAnsi="Arial" w:cs="Arial"/>
                <w:sz w:val="28"/>
                <w:szCs w:val="28"/>
              </w:rPr>
              <w:t>Environment and to comply with relevant legislation.</w:t>
            </w:r>
          </w:p>
          <w:p w14:paraId="57453C4D" w14:textId="77777777" w:rsidR="0039424B" w:rsidRPr="00A53210" w:rsidRDefault="0039424B" w:rsidP="00A53210">
            <w:pPr>
              <w:rPr>
                <w:rFonts w:ascii="Arial" w:eastAsia="Times New Roman" w:hAnsi="Arial" w:cs="Arial"/>
                <w:sz w:val="28"/>
                <w:szCs w:val="28"/>
              </w:rPr>
            </w:pPr>
          </w:p>
        </w:tc>
        <w:tc>
          <w:tcPr>
            <w:tcW w:w="1530" w:type="dxa"/>
          </w:tcPr>
          <w:p w14:paraId="1627434C" w14:textId="41FAEAFE" w:rsidR="0039424B" w:rsidRDefault="00505643" w:rsidP="00BC24A5">
            <w:pPr>
              <w:rPr>
                <w:rFonts w:ascii="Arial" w:hAnsi="Arial" w:cs="Arial"/>
                <w:bCs/>
                <w:sz w:val="28"/>
                <w:szCs w:val="28"/>
              </w:rPr>
            </w:pPr>
            <w:r>
              <w:rPr>
                <w:rFonts w:ascii="Arial" w:hAnsi="Arial" w:cs="Arial"/>
                <w:bCs/>
                <w:sz w:val="28"/>
                <w:szCs w:val="28"/>
              </w:rPr>
              <w:t>Revised</w:t>
            </w:r>
          </w:p>
        </w:tc>
        <w:tc>
          <w:tcPr>
            <w:tcW w:w="1817" w:type="dxa"/>
          </w:tcPr>
          <w:p w14:paraId="7B4D6E9B" w14:textId="4FEFD732" w:rsidR="0039424B" w:rsidRDefault="0039424B" w:rsidP="00BC24A5">
            <w:pPr>
              <w:rPr>
                <w:rFonts w:ascii="Arial" w:hAnsi="Arial" w:cs="Arial"/>
                <w:bCs/>
                <w:sz w:val="28"/>
                <w:szCs w:val="28"/>
              </w:rPr>
            </w:pPr>
            <w:r>
              <w:rPr>
                <w:rFonts w:ascii="Arial" w:hAnsi="Arial" w:cs="Arial"/>
                <w:bCs/>
                <w:sz w:val="28"/>
                <w:szCs w:val="28"/>
              </w:rPr>
              <w:t>15 February 2023</w:t>
            </w:r>
          </w:p>
        </w:tc>
        <w:tc>
          <w:tcPr>
            <w:tcW w:w="3882" w:type="dxa"/>
          </w:tcPr>
          <w:p w14:paraId="649932C2" w14:textId="2F6E966E" w:rsidR="0039424B" w:rsidRPr="00A53210" w:rsidRDefault="00505643" w:rsidP="00BC24A5">
            <w:pPr>
              <w:rPr>
                <w:rFonts w:ascii="Arial" w:eastAsia="Times New Roman" w:hAnsi="Arial" w:cs="Arial"/>
                <w:sz w:val="28"/>
                <w:szCs w:val="28"/>
              </w:rPr>
            </w:pPr>
            <w:r w:rsidRPr="00505643">
              <w:rPr>
                <w:rFonts w:ascii="Arial" w:eastAsia="Times New Roman" w:hAnsi="Arial" w:cs="Arial"/>
                <w:sz w:val="28"/>
                <w:szCs w:val="28"/>
              </w:rPr>
              <w:t>Policy has no impact on S75 categories</w:t>
            </w:r>
          </w:p>
        </w:tc>
      </w:tr>
      <w:tr w:rsidR="0039424B" w:rsidRPr="00537FF3" w14:paraId="6016DE38" w14:textId="77777777" w:rsidTr="00750941">
        <w:tblPrEx>
          <w:tblLook w:val="04A0" w:firstRow="1" w:lastRow="0" w:firstColumn="1" w:lastColumn="0" w:noHBand="0" w:noVBand="1"/>
        </w:tblPrEx>
        <w:tc>
          <w:tcPr>
            <w:tcW w:w="2689" w:type="dxa"/>
          </w:tcPr>
          <w:p w14:paraId="081D59F9" w14:textId="3841CE38" w:rsidR="0039424B" w:rsidRDefault="0039424B" w:rsidP="0039424B">
            <w:pPr>
              <w:rPr>
                <w:rFonts w:ascii="Arial" w:hAnsi="Arial" w:cs="Arial"/>
                <w:bCs/>
                <w:sz w:val="28"/>
                <w:szCs w:val="28"/>
              </w:rPr>
            </w:pPr>
            <w:r>
              <w:rPr>
                <w:rFonts w:ascii="Arial" w:hAnsi="Arial" w:cs="Arial"/>
                <w:bCs/>
                <w:sz w:val="28"/>
                <w:szCs w:val="28"/>
              </w:rPr>
              <w:t>Health and Safety Policy</w:t>
            </w:r>
          </w:p>
        </w:tc>
        <w:tc>
          <w:tcPr>
            <w:tcW w:w="5583" w:type="dxa"/>
          </w:tcPr>
          <w:p w14:paraId="0B0757CF" w14:textId="77777777" w:rsidR="00505643" w:rsidRPr="00505643" w:rsidRDefault="00505643" w:rsidP="00505643">
            <w:pPr>
              <w:rPr>
                <w:rFonts w:ascii="Arial" w:eastAsia="Times New Roman" w:hAnsi="Arial" w:cs="Arial"/>
                <w:sz w:val="28"/>
                <w:szCs w:val="28"/>
              </w:rPr>
            </w:pPr>
            <w:r>
              <w:rPr>
                <w:rFonts w:ascii="Arial" w:eastAsia="Times New Roman" w:hAnsi="Arial" w:cs="Arial"/>
                <w:sz w:val="28"/>
                <w:szCs w:val="28"/>
              </w:rPr>
              <w:t>To p</w:t>
            </w:r>
            <w:r w:rsidRPr="00505643">
              <w:rPr>
                <w:rFonts w:ascii="Arial" w:eastAsia="Times New Roman" w:hAnsi="Arial" w:cs="Arial"/>
                <w:sz w:val="28"/>
                <w:szCs w:val="28"/>
              </w:rPr>
              <w:t>resent the College’s commitment to a healthy and safe working</w:t>
            </w:r>
            <w:r>
              <w:rPr>
                <w:rFonts w:ascii="Arial" w:eastAsia="Times New Roman" w:hAnsi="Arial" w:cs="Arial"/>
                <w:sz w:val="28"/>
                <w:szCs w:val="28"/>
              </w:rPr>
              <w:t xml:space="preserve"> </w:t>
            </w:r>
            <w:r w:rsidRPr="00505643">
              <w:rPr>
                <w:rFonts w:ascii="Arial" w:eastAsia="Times New Roman" w:hAnsi="Arial" w:cs="Arial"/>
                <w:sz w:val="28"/>
                <w:szCs w:val="28"/>
              </w:rPr>
              <w:t>Environment and to comply with relevant legislation.</w:t>
            </w:r>
          </w:p>
          <w:p w14:paraId="69115D47" w14:textId="77777777" w:rsidR="0039424B" w:rsidRPr="00A53210" w:rsidRDefault="0039424B" w:rsidP="0039424B">
            <w:pPr>
              <w:rPr>
                <w:rFonts w:ascii="Arial" w:eastAsia="Times New Roman" w:hAnsi="Arial" w:cs="Arial"/>
                <w:sz w:val="28"/>
                <w:szCs w:val="28"/>
              </w:rPr>
            </w:pPr>
          </w:p>
        </w:tc>
        <w:tc>
          <w:tcPr>
            <w:tcW w:w="1530" w:type="dxa"/>
          </w:tcPr>
          <w:p w14:paraId="5A3452FE" w14:textId="1FCF7E23" w:rsidR="0039424B" w:rsidRDefault="00505643" w:rsidP="0039424B">
            <w:pPr>
              <w:rPr>
                <w:rFonts w:ascii="Arial" w:hAnsi="Arial" w:cs="Arial"/>
                <w:bCs/>
                <w:sz w:val="28"/>
                <w:szCs w:val="28"/>
              </w:rPr>
            </w:pPr>
            <w:r>
              <w:rPr>
                <w:rFonts w:ascii="Arial" w:hAnsi="Arial" w:cs="Arial"/>
                <w:bCs/>
                <w:sz w:val="28"/>
                <w:szCs w:val="28"/>
              </w:rPr>
              <w:lastRenderedPageBreak/>
              <w:t>Revised</w:t>
            </w:r>
          </w:p>
        </w:tc>
        <w:tc>
          <w:tcPr>
            <w:tcW w:w="1817" w:type="dxa"/>
          </w:tcPr>
          <w:p w14:paraId="2460D130" w14:textId="393A614D" w:rsidR="0039424B" w:rsidRDefault="0039424B" w:rsidP="0039424B">
            <w:pPr>
              <w:rPr>
                <w:rFonts w:ascii="Arial" w:hAnsi="Arial" w:cs="Arial"/>
                <w:bCs/>
                <w:sz w:val="28"/>
                <w:szCs w:val="28"/>
              </w:rPr>
            </w:pPr>
            <w:r w:rsidRPr="00230CE8">
              <w:rPr>
                <w:rFonts w:ascii="Arial" w:hAnsi="Arial" w:cs="Arial"/>
                <w:bCs/>
                <w:sz w:val="28"/>
                <w:szCs w:val="28"/>
              </w:rPr>
              <w:t>15 February 2023</w:t>
            </w:r>
          </w:p>
        </w:tc>
        <w:tc>
          <w:tcPr>
            <w:tcW w:w="3882" w:type="dxa"/>
          </w:tcPr>
          <w:p w14:paraId="3145DC08" w14:textId="4B434A1F" w:rsidR="0039424B" w:rsidRPr="00A53210" w:rsidRDefault="00505643" w:rsidP="0039424B">
            <w:pPr>
              <w:rPr>
                <w:rFonts w:ascii="Arial" w:eastAsia="Times New Roman" w:hAnsi="Arial" w:cs="Arial"/>
                <w:sz w:val="28"/>
                <w:szCs w:val="28"/>
              </w:rPr>
            </w:pPr>
            <w:r w:rsidRPr="00505643">
              <w:rPr>
                <w:rFonts w:ascii="Arial" w:eastAsia="Times New Roman" w:hAnsi="Arial" w:cs="Arial"/>
                <w:sz w:val="28"/>
                <w:szCs w:val="28"/>
              </w:rPr>
              <w:t>Policy has no impact on S75 categories</w:t>
            </w:r>
          </w:p>
        </w:tc>
      </w:tr>
      <w:tr w:rsidR="0039424B" w:rsidRPr="00537FF3" w14:paraId="41011C17" w14:textId="77777777" w:rsidTr="00750941">
        <w:tblPrEx>
          <w:tblLook w:val="04A0" w:firstRow="1" w:lastRow="0" w:firstColumn="1" w:lastColumn="0" w:noHBand="0" w:noVBand="1"/>
        </w:tblPrEx>
        <w:tc>
          <w:tcPr>
            <w:tcW w:w="2689" w:type="dxa"/>
          </w:tcPr>
          <w:p w14:paraId="74B5CC38" w14:textId="63945323" w:rsidR="0039424B" w:rsidRDefault="0039424B" w:rsidP="0039424B">
            <w:pPr>
              <w:rPr>
                <w:rFonts w:ascii="Arial" w:hAnsi="Arial" w:cs="Arial"/>
                <w:bCs/>
                <w:sz w:val="28"/>
                <w:szCs w:val="28"/>
              </w:rPr>
            </w:pPr>
            <w:r>
              <w:rPr>
                <w:rFonts w:ascii="Arial" w:hAnsi="Arial" w:cs="Arial"/>
                <w:bCs/>
                <w:sz w:val="28"/>
                <w:szCs w:val="28"/>
              </w:rPr>
              <w:t>Fire Safety Policy</w:t>
            </w:r>
          </w:p>
        </w:tc>
        <w:tc>
          <w:tcPr>
            <w:tcW w:w="5583" w:type="dxa"/>
          </w:tcPr>
          <w:p w14:paraId="597A7974" w14:textId="72E9172E" w:rsidR="00505643" w:rsidRPr="00505643" w:rsidRDefault="00505643" w:rsidP="00505643">
            <w:pPr>
              <w:rPr>
                <w:rFonts w:ascii="Arial" w:eastAsia="Times New Roman" w:hAnsi="Arial" w:cs="Arial"/>
                <w:b/>
                <w:sz w:val="28"/>
                <w:szCs w:val="28"/>
              </w:rPr>
            </w:pPr>
            <w:r w:rsidRPr="00505643">
              <w:rPr>
                <w:rFonts w:ascii="Arial" w:eastAsia="Times New Roman" w:hAnsi="Arial" w:cs="Arial"/>
                <w:bCs/>
                <w:sz w:val="28"/>
                <w:szCs w:val="28"/>
              </w:rPr>
              <w:t>To ensure that the College complies with all current legislation</w:t>
            </w:r>
            <w:r>
              <w:rPr>
                <w:rFonts w:ascii="Arial" w:eastAsia="Times New Roman" w:hAnsi="Arial" w:cs="Arial"/>
                <w:bCs/>
                <w:sz w:val="28"/>
                <w:szCs w:val="28"/>
              </w:rPr>
              <w:t xml:space="preserve"> and t</w:t>
            </w:r>
            <w:r w:rsidRPr="00505643">
              <w:rPr>
                <w:rFonts w:ascii="Arial" w:eastAsia="Times New Roman" w:hAnsi="Arial" w:cs="Arial"/>
                <w:bCs/>
                <w:sz w:val="28"/>
                <w:szCs w:val="28"/>
              </w:rPr>
              <w:t>o manage the safe evacuation of all staff/students in the event of an emergency/fire</w:t>
            </w:r>
            <w:r w:rsidRPr="00505643">
              <w:rPr>
                <w:rFonts w:ascii="Arial" w:eastAsia="Times New Roman" w:hAnsi="Arial" w:cs="Arial"/>
                <w:b/>
                <w:sz w:val="28"/>
                <w:szCs w:val="28"/>
              </w:rPr>
              <w:t xml:space="preserve">. </w:t>
            </w:r>
          </w:p>
          <w:p w14:paraId="7D68674B" w14:textId="77777777" w:rsidR="0039424B" w:rsidRPr="00A53210" w:rsidRDefault="0039424B" w:rsidP="0039424B">
            <w:pPr>
              <w:rPr>
                <w:rFonts w:ascii="Arial" w:eastAsia="Times New Roman" w:hAnsi="Arial" w:cs="Arial"/>
                <w:sz w:val="28"/>
                <w:szCs w:val="28"/>
              </w:rPr>
            </w:pPr>
          </w:p>
        </w:tc>
        <w:tc>
          <w:tcPr>
            <w:tcW w:w="1530" w:type="dxa"/>
          </w:tcPr>
          <w:p w14:paraId="294F9844" w14:textId="2A6115E8" w:rsidR="0039424B" w:rsidRDefault="00505643" w:rsidP="0039424B">
            <w:pPr>
              <w:rPr>
                <w:rFonts w:ascii="Arial" w:hAnsi="Arial" w:cs="Arial"/>
                <w:bCs/>
                <w:sz w:val="28"/>
                <w:szCs w:val="28"/>
              </w:rPr>
            </w:pPr>
            <w:r>
              <w:rPr>
                <w:rFonts w:ascii="Arial" w:hAnsi="Arial" w:cs="Arial"/>
                <w:bCs/>
                <w:sz w:val="28"/>
                <w:szCs w:val="28"/>
              </w:rPr>
              <w:t>Revised</w:t>
            </w:r>
          </w:p>
        </w:tc>
        <w:tc>
          <w:tcPr>
            <w:tcW w:w="1817" w:type="dxa"/>
          </w:tcPr>
          <w:p w14:paraId="6D913175" w14:textId="0FB3AB4E" w:rsidR="0039424B" w:rsidRDefault="0039424B" w:rsidP="0039424B">
            <w:pPr>
              <w:rPr>
                <w:rFonts w:ascii="Arial" w:hAnsi="Arial" w:cs="Arial"/>
                <w:bCs/>
                <w:sz w:val="28"/>
                <w:szCs w:val="28"/>
              </w:rPr>
            </w:pPr>
            <w:r w:rsidRPr="00230CE8">
              <w:rPr>
                <w:rFonts w:ascii="Arial" w:hAnsi="Arial" w:cs="Arial"/>
                <w:bCs/>
                <w:sz w:val="28"/>
                <w:szCs w:val="28"/>
              </w:rPr>
              <w:t>15 February 2023</w:t>
            </w:r>
          </w:p>
        </w:tc>
        <w:tc>
          <w:tcPr>
            <w:tcW w:w="3882" w:type="dxa"/>
          </w:tcPr>
          <w:p w14:paraId="76233DA7" w14:textId="25DDAFDD" w:rsidR="0039424B" w:rsidRPr="00A53210" w:rsidRDefault="00505643" w:rsidP="0039424B">
            <w:pPr>
              <w:rPr>
                <w:rFonts w:ascii="Arial" w:eastAsia="Times New Roman" w:hAnsi="Arial" w:cs="Arial"/>
                <w:sz w:val="28"/>
                <w:szCs w:val="28"/>
              </w:rPr>
            </w:pPr>
            <w:r w:rsidRPr="00505643">
              <w:rPr>
                <w:rFonts w:ascii="Arial" w:eastAsia="Times New Roman" w:hAnsi="Arial" w:cs="Arial"/>
                <w:sz w:val="28"/>
                <w:szCs w:val="28"/>
              </w:rPr>
              <w:t>No impact on any of the Section 75 equality categories</w:t>
            </w:r>
          </w:p>
        </w:tc>
      </w:tr>
      <w:tr w:rsidR="0039424B" w:rsidRPr="00537FF3" w14:paraId="7B3B8790" w14:textId="77777777" w:rsidTr="00750941">
        <w:tblPrEx>
          <w:tblLook w:val="04A0" w:firstRow="1" w:lastRow="0" w:firstColumn="1" w:lastColumn="0" w:noHBand="0" w:noVBand="1"/>
        </w:tblPrEx>
        <w:tc>
          <w:tcPr>
            <w:tcW w:w="2689" w:type="dxa"/>
          </w:tcPr>
          <w:p w14:paraId="69B0FF27" w14:textId="3E190F41" w:rsidR="0039424B" w:rsidRDefault="0039424B" w:rsidP="0039424B">
            <w:pPr>
              <w:rPr>
                <w:rFonts w:ascii="Arial" w:hAnsi="Arial" w:cs="Arial"/>
                <w:bCs/>
                <w:sz w:val="28"/>
                <w:szCs w:val="28"/>
              </w:rPr>
            </w:pPr>
            <w:r>
              <w:rPr>
                <w:rFonts w:ascii="Arial" w:hAnsi="Arial" w:cs="Arial"/>
                <w:bCs/>
                <w:sz w:val="28"/>
                <w:szCs w:val="28"/>
              </w:rPr>
              <w:t>Achievement Strategy</w:t>
            </w:r>
          </w:p>
        </w:tc>
        <w:tc>
          <w:tcPr>
            <w:tcW w:w="5583" w:type="dxa"/>
          </w:tcPr>
          <w:p w14:paraId="785987E6" w14:textId="77777777" w:rsidR="00505643" w:rsidRPr="00505643" w:rsidRDefault="00505643" w:rsidP="00505643">
            <w:pPr>
              <w:rPr>
                <w:rFonts w:ascii="Arial" w:eastAsia="Times New Roman" w:hAnsi="Arial" w:cs="Arial"/>
                <w:b/>
                <w:bCs/>
                <w:sz w:val="28"/>
                <w:szCs w:val="28"/>
              </w:rPr>
            </w:pPr>
            <w:r w:rsidRPr="00505643">
              <w:rPr>
                <w:rFonts w:ascii="Arial" w:eastAsia="Times New Roman" w:hAnsi="Arial" w:cs="Arial"/>
                <w:sz w:val="28"/>
                <w:szCs w:val="28"/>
              </w:rPr>
              <w:t>The motivation for the Strategy is that the college is continually striving to promote a culture of continuous improvement for the benefit of all learners. This is set in the context of a number of ongoing challenges for the sector, a range of strategic developments and the need to review learning and learning in a post COVID environment.</w:t>
            </w:r>
          </w:p>
          <w:p w14:paraId="4639584E" w14:textId="77777777" w:rsidR="0039424B" w:rsidRPr="00A53210" w:rsidRDefault="0039424B" w:rsidP="0039424B">
            <w:pPr>
              <w:rPr>
                <w:rFonts w:ascii="Arial" w:eastAsia="Times New Roman" w:hAnsi="Arial" w:cs="Arial"/>
                <w:sz w:val="28"/>
                <w:szCs w:val="28"/>
              </w:rPr>
            </w:pPr>
          </w:p>
        </w:tc>
        <w:tc>
          <w:tcPr>
            <w:tcW w:w="1530" w:type="dxa"/>
          </w:tcPr>
          <w:p w14:paraId="20FD79B6" w14:textId="6DB3D45F" w:rsidR="0039424B" w:rsidRDefault="00505643" w:rsidP="0039424B">
            <w:pPr>
              <w:rPr>
                <w:rFonts w:ascii="Arial" w:hAnsi="Arial" w:cs="Arial"/>
                <w:bCs/>
                <w:sz w:val="28"/>
                <w:szCs w:val="28"/>
              </w:rPr>
            </w:pPr>
            <w:r>
              <w:rPr>
                <w:rFonts w:ascii="Arial" w:hAnsi="Arial" w:cs="Arial"/>
                <w:bCs/>
                <w:sz w:val="28"/>
                <w:szCs w:val="28"/>
              </w:rPr>
              <w:t>New</w:t>
            </w:r>
          </w:p>
        </w:tc>
        <w:tc>
          <w:tcPr>
            <w:tcW w:w="1817" w:type="dxa"/>
          </w:tcPr>
          <w:p w14:paraId="3732F8A2" w14:textId="7ABF8B20" w:rsidR="0039424B" w:rsidRDefault="0039424B" w:rsidP="0039424B">
            <w:pPr>
              <w:rPr>
                <w:rFonts w:ascii="Arial" w:hAnsi="Arial" w:cs="Arial"/>
                <w:bCs/>
                <w:sz w:val="28"/>
                <w:szCs w:val="28"/>
              </w:rPr>
            </w:pPr>
            <w:r w:rsidRPr="00230CE8">
              <w:rPr>
                <w:rFonts w:ascii="Arial" w:hAnsi="Arial" w:cs="Arial"/>
                <w:bCs/>
                <w:sz w:val="28"/>
                <w:szCs w:val="28"/>
              </w:rPr>
              <w:t>15 February 2023</w:t>
            </w:r>
          </w:p>
        </w:tc>
        <w:tc>
          <w:tcPr>
            <w:tcW w:w="3882" w:type="dxa"/>
          </w:tcPr>
          <w:p w14:paraId="39793D90" w14:textId="0E321AAF" w:rsidR="0039424B" w:rsidRPr="00A53210" w:rsidRDefault="00505643" w:rsidP="0039424B">
            <w:pPr>
              <w:rPr>
                <w:rFonts w:ascii="Arial" w:eastAsia="Times New Roman" w:hAnsi="Arial" w:cs="Arial"/>
                <w:sz w:val="28"/>
                <w:szCs w:val="28"/>
              </w:rPr>
            </w:pPr>
            <w:r w:rsidRPr="00505643">
              <w:rPr>
                <w:rFonts w:ascii="Arial" w:eastAsia="Times New Roman" w:hAnsi="Arial" w:cs="Arial"/>
                <w:sz w:val="28"/>
                <w:szCs w:val="28"/>
              </w:rPr>
              <w:t>Statistics available highlight the need for the college to improve processes to encourage increased retention, achievement and success of our learners.  This is based on a number of ongoing challenges for the sector, demographics in the catchment area, a range of strategic developments and the need to review learning and learning in a post COVID environment.  An impact assessment is not necessary as data has already highlighted the need for change to the benefit of all learners.</w:t>
            </w:r>
          </w:p>
        </w:tc>
      </w:tr>
      <w:tr w:rsidR="0039424B" w:rsidRPr="00537FF3" w14:paraId="78ACA7F1" w14:textId="77777777" w:rsidTr="00750941">
        <w:tblPrEx>
          <w:tblLook w:val="04A0" w:firstRow="1" w:lastRow="0" w:firstColumn="1" w:lastColumn="0" w:noHBand="0" w:noVBand="1"/>
        </w:tblPrEx>
        <w:tc>
          <w:tcPr>
            <w:tcW w:w="2689" w:type="dxa"/>
          </w:tcPr>
          <w:p w14:paraId="471D09AA" w14:textId="2D4F6A1A" w:rsidR="0039424B" w:rsidRDefault="0039424B" w:rsidP="00BC24A5">
            <w:pPr>
              <w:rPr>
                <w:rFonts w:ascii="Arial" w:hAnsi="Arial" w:cs="Arial"/>
                <w:bCs/>
                <w:sz w:val="28"/>
                <w:szCs w:val="28"/>
              </w:rPr>
            </w:pPr>
            <w:r>
              <w:rPr>
                <w:rFonts w:ascii="Arial" w:hAnsi="Arial" w:cs="Arial"/>
                <w:bCs/>
                <w:sz w:val="28"/>
                <w:szCs w:val="28"/>
              </w:rPr>
              <w:t>References Policy</w:t>
            </w:r>
          </w:p>
        </w:tc>
        <w:tc>
          <w:tcPr>
            <w:tcW w:w="5583" w:type="dxa"/>
          </w:tcPr>
          <w:p w14:paraId="1138BDB4" w14:textId="77777777" w:rsidR="00505643" w:rsidRPr="00505643" w:rsidRDefault="00505643" w:rsidP="00505643">
            <w:pPr>
              <w:rPr>
                <w:rFonts w:ascii="Arial" w:eastAsia="Times New Roman" w:hAnsi="Arial" w:cs="Arial"/>
                <w:b/>
                <w:bCs/>
                <w:sz w:val="28"/>
                <w:szCs w:val="28"/>
              </w:rPr>
            </w:pPr>
            <w:r w:rsidRPr="00505643">
              <w:rPr>
                <w:rFonts w:ascii="Arial" w:eastAsia="Times New Roman" w:hAnsi="Arial" w:cs="Arial"/>
                <w:sz w:val="28"/>
                <w:szCs w:val="28"/>
              </w:rPr>
              <w:t xml:space="preserve">The aim of the policy is that the college will ensure all requests for corporate </w:t>
            </w:r>
            <w:r w:rsidRPr="00505643">
              <w:rPr>
                <w:rFonts w:ascii="Arial" w:eastAsia="Times New Roman" w:hAnsi="Arial" w:cs="Arial"/>
                <w:sz w:val="28"/>
                <w:szCs w:val="28"/>
              </w:rPr>
              <w:lastRenderedPageBreak/>
              <w:t>references to external sources are provided in a consistent, fair and equitable manner.</w:t>
            </w:r>
          </w:p>
          <w:p w14:paraId="4008A26A" w14:textId="77777777" w:rsidR="0039424B" w:rsidRPr="00A53210" w:rsidRDefault="0039424B" w:rsidP="00A53210">
            <w:pPr>
              <w:rPr>
                <w:rFonts w:ascii="Arial" w:eastAsia="Times New Roman" w:hAnsi="Arial" w:cs="Arial"/>
                <w:sz w:val="28"/>
                <w:szCs w:val="28"/>
              </w:rPr>
            </w:pPr>
          </w:p>
        </w:tc>
        <w:tc>
          <w:tcPr>
            <w:tcW w:w="1530" w:type="dxa"/>
          </w:tcPr>
          <w:p w14:paraId="264B8650" w14:textId="3DDE9E57" w:rsidR="0039424B" w:rsidRDefault="00505643" w:rsidP="00BC24A5">
            <w:pPr>
              <w:rPr>
                <w:rFonts w:ascii="Arial" w:hAnsi="Arial" w:cs="Arial"/>
                <w:bCs/>
                <w:sz w:val="28"/>
                <w:szCs w:val="28"/>
              </w:rPr>
            </w:pPr>
            <w:r>
              <w:rPr>
                <w:rFonts w:ascii="Arial" w:hAnsi="Arial" w:cs="Arial"/>
                <w:bCs/>
                <w:sz w:val="28"/>
                <w:szCs w:val="28"/>
              </w:rPr>
              <w:lastRenderedPageBreak/>
              <w:t>Existing</w:t>
            </w:r>
          </w:p>
        </w:tc>
        <w:tc>
          <w:tcPr>
            <w:tcW w:w="1817" w:type="dxa"/>
          </w:tcPr>
          <w:p w14:paraId="3A6C81AE" w14:textId="214948E2" w:rsidR="0039424B" w:rsidRDefault="0039424B" w:rsidP="00BC24A5">
            <w:pPr>
              <w:rPr>
                <w:rFonts w:ascii="Arial" w:hAnsi="Arial" w:cs="Arial"/>
                <w:bCs/>
                <w:sz w:val="28"/>
                <w:szCs w:val="28"/>
              </w:rPr>
            </w:pPr>
            <w:r>
              <w:rPr>
                <w:rFonts w:ascii="Arial" w:hAnsi="Arial" w:cs="Arial"/>
                <w:bCs/>
                <w:sz w:val="28"/>
                <w:szCs w:val="28"/>
              </w:rPr>
              <w:t>15 February 2023</w:t>
            </w:r>
          </w:p>
        </w:tc>
        <w:tc>
          <w:tcPr>
            <w:tcW w:w="3882" w:type="dxa"/>
          </w:tcPr>
          <w:p w14:paraId="6FB7C926" w14:textId="1B3A3101" w:rsidR="0039424B" w:rsidRPr="00A53210" w:rsidRDefault="00505643" w:rsidP="00BC24A5">
            <w:pPr>
              <w:rPr>
                <w:rFonts w:ascii="Arial" w:eastAsia="Times New Roman" w:hAnsi="Arial" w:cs="Arial"/>
                <w:sz w:val="28"/>
                <w:szCs w:val="28"/>
              </w:rPr>
            </w:pPr>
            <w:r w:rsidRPr="00505643">
              <w:rPr>
                <w:rFonts w:ascii="Arial" w:eastAsia="Times New Roman" w:hAnsi="Arial" w:cs="Arial"/>
                <w:sz w:val="28"/>
                <w:szCs w:val="28"/>
              </w:rPr>
              <w:t xml:space="preserve">Policy has no impact on any of the Section 75 Equality </w:t>
            </w:r>
            <w:r w:rsidRPr="00505643">
              <w:rPr>
                <w:rFonts w:ascii="Arial" w:eastAsia="Times New Roman" w:hAnsi="Arial" w:cs="Arial"/>
                <w:sz w:val="28"/>
                <w:szCs w:val="28"/>
              </w:rPr>
              <w:lastRenderedPageBreak/>
              <w:t>Categories as it is a policy to be adhered to by all staff</w:t>
            </w:r>
          </w:p>
        </w:tc>
      </w:tr>
      <w:tr w:rsidR="005E58C7" w:rsidRPr="00537FF3" w14:paraId="4AC87FA4" w14:textId="77777777" w:rsidTr="00750941">
        <w:tblPrEx>
          <w:tblLook w:val="04A0" w:firstRow="1" w:lastRow="0" w:firstColumn="1" w:lastColumn="0" w:noHBand="0" w:noVBand="1"/>
        </w:tblPrEx>
        <w:tc>
          <w:tcPr>
            <w:tcW w:w="2689" w:type="dxa"/>
          </w:tcPr>
          <w:p w14:paraId="3A37EF07" w14:textId="376DF0EA" w:rsidR="005E58C7" w:rsidRDefault="005E58C7" w:rsidP="00BC24A5">
            <w:pPr>
              <w:rPr>
                <w:rFonts w:ascii="Arial" w:hAnsi="Arial" w:cs="Arial"/>
                <w:bCs/>
                <w:sz w:val="28"/>
                <w:szCs w:val="28"/>
              </w:rPr>
            </w:pPr>
            <w:r>
              <w:rPr>
                <w:rFonts w:ascii="Arial" w:hAnsi="Arial" w:cs="Arial"/>
                <w:bCs/>
                <w:sz w:val="28"/>
                <w:szCs w:val="28"/>
              </w:rPr>
              <w:lastRenderedPageBreak/>
              <w:t>Library Policy and Procedure</w:t>
            </w:r>
          </w:p>
        </w:tc>
        <w:tc>
          <w:tcPr>
            <w:tcW w:w="5583" w:type="dxa"/>
          </w:tcPr>
          <w:p w14:paraId="219253FF" w14:textId="77777777" w:rsidR="005E58C7" w:rsidRPr="005E58C7" w:rsidRDefault="005E58C7" w:rsidP="005E58C7">
            <w:pPr>
              <w:rPr>
                <w:rFonts w:ascii="Arial" w:eastAsia="Times New Roman" w:hAnsi="Arial" w:cs="Arial"/>
                <w:sz w:val="28"/>
                <w:szCs w:val="28"/>
              </w:rPr>
            </w:pPr>
            <w:r w:rsidRPr="005E58C7">
              <w:rPr>
                <w:rFonts w:ascii="Arial" w:eastAsia="Times New Roman" w:hAnsi="Arial" w:cs="Arial"/>
                <w:sz w:val="28"/>
                <w:szCs w:val="28"/>
              </w:rPr>
              <w:t>The aim of the policy is to provide guidance on how the Library hopes to support the learning and teaching activities of staff and students at the College.</w:t>
            </w:r>
          </w:p>
          <w:p w14:paraId="0ED9BEDB" w14:textId="77777777" w:rsidR="005E58C7" w:rsidRPr="00505643" w:rsidRDefault="005E58C7" w:rsidP="00505643">
            <w:pPr>
              <w:rPr>
                <w:rFonts w:ascii="Arial" w:eastAsia="Times New Roman" w:hAnsi="Arial" w:cs="Arial"/>
                <w:sz w:val="28"/>
                <w:szCs w:val="28"/>
              </w:rPr>
            </w:pPr>
          </w:p>
        </w:tc>
        <w:tc>
          <w:tcPr>
            <w:tcW w:w="1530" w:type="dxa"/>
          </w:tcPr>
          <w:p w14:paraId="527B8CD5" w14:textId="0E60E405" w:rsidR="005E58C7" w:rsidRDefault="005E58C7" w:rsidP="00BC24A5">
            <w:pPr>
              <w:rPr>
                <w:rFonts w:ascii="Arial" w:hAnsi="Arial" w:cs="Arial"/>
                <w:bCs/>
                <w:sz w:val="28"/>
                <w:szCs w:val="28"/>
              </w:rPr>
            </w:pPr>
            <w:r>
              <w:rPr>
                <w:rFonts w:ascii="Arial" w:hAnsi="Arial" w:cs="Arial"/>
                <w:bCs/>
                <w:sz w:val="28"/>
                <w:szCs w:val="28"/>
              </w:rPr>
              <w:t>Existing</w:t>
            </w:r>
          </w:p>
        </w:tc>
        <w:tc>
          <w:tcPr>
            <w:tcW w:w="1817" w:type="dxa"/>
          </w:tcPr>
          <w:p w14:paraId="68D6A6D6" w14:textId="49720B6C" w:rsidR="005E58C7" w:rsidRDefault="005E58C7" w:rsidP="00BC24A5">
            <w:pPr>
              <w:rPr>
                <w:rFonts w:ascii="Arial" w:hAnsi="Arial" w:cs="Arial"/>
                <w:bCs/>
                <w:sz w:val="28"/>
                <w:szCs w:val="28"/>
              </w:rPr>
            </w:pPr>
            <w:r>
              <w:rPr>
                <w:rFonts w:ascii="Arial" w:hAnsi="Arial" w:cs="Arial"/>
                <w:bCs/>
                <w:sz w:val="28"/>
                <w:szCs w:val="28"/>
              </w:rPr>
              <w:t>21 February 2023</w:t>
            </w:r>
          </w:p>
        </w:tc>
        <w:tc>
          <w:tcPr>
            <w:tcW w:w="3882" w:type="dxa"/>
          </w:tcPr>
          <w:p w14:paraId="0DCB4952" w14:textId="4BDFCD02" w:rsidR="005E58C7" w:rsidRPr="00505643" w:rsidRDefault="005E58C7" w:rsidP="00BC24A5">
            <w:pPr>
              <w:rPr>
                <w:rFonts w:ascii="Arial" w:eastAsia="Times New Roman" w:hAnsi="Arial" w:cs="Arial"/>
                <w:sz w:val="28"/>
                <w:szCs w:val="28"/>
              </w:rPr>
            </w:pPr>
            <w:r w:rsidRPr="005E58C7">
              <w:rPr>
                <w:rFonts w:ascii="Arial" w:eastAsia="Times New Roman" w:hAnsi="Arial" w:cs="Arial"/>
                <w:sz w:val="28"/>
                <w:szCs w:val="28"/>
              </w:rPr>
              <w:t>No impact on any of the Section 75 Equality categories</w:t>
            </w:r>
          </w:p>
        </w:tc>
      </w:tr>
      <w:tr w:rsidR="005E58C7" w:rsidRPr="00537FF3" w14:paraId="08CFBF1D" w14:textId="77777777" w:rsidTr="00750941">
        <w:tblPrEx>
          <w:tblLook w:val="04A0" w:firstRow="1" w:lastRow="0" w:firstColumn="1" w:lastColumn="0" w:noHBand="0" w:noVBand="1"/>
        </w:tblPrEx>
        <w:tc>
          <w:tcPr>
            <w:tcW w:w="2689" w:type="dxa"/>
          </w:tcPr>
          <w:p w14:paraId="045DEE98" w14:textId="77777777" w:rsidR="005E58C7" w:rsidRDefault="005E58C7" w:rsidP="00210540">
            <w:pPr>
              <w:rPr>
                <w:rFonts w:ascii="Arial" w:hAnsi="Arial" w:cs="Arial"/>
                <w:bCs/>
                <w:sz w:val="28"/>
                <w:szCs w:val="28"/>
              </w:rPr>
            </w:pPr>
            <w:r>
              <w:rPr>
                <w:rFonts w:ascii="Arial" w:hAnsi="Arial" w:cs="Arial"/>
                <w:bCs/>
                <w:sz w:val="28"/>
                <w:szCs w:val="28"/>
              </w:rPr>
              <w:t>Young Adult Carers Policy</w:t>
            </w:r>
          </w:p>
        </w:tc>
        <w:tc>
          <w:tcPr>
            <w:tcW w:w="5583" w:type="dxa"/>
          </w:tcPr>
          <w:p w14:paraId="2296EBD4" w14:textId="7181F19F" w:rsidR="005E58C7" w:rsidRPr="00A53210" w:rsidRDefault="005E58C7" w:rsidP="00210540">
            <w:pPr>
              <w:rPr>
                <w:rFonts w:ascii="Arial" w:eastAsia="Times New Roman" w:hAnsi="Arial" w:cs="Arial"/>
                <w:sz w:val="28"/>
                <w:szCs w:val="28"/>
              </w:rPr>
            </w:pPr>
            <w:r w:rsidRPr="005E58C7">
              <w:rPr>
                <w:rFonts w:ascii="Arial" w:eastAsia="Times New Roman" w:hAnsi="Arial" w:cs="Arial"/>
                <w:sz w:val="28"/>
                <w:szCs w:val="28"/>
              </w:rPr>
              <w:t xml:space="preserve">North West Regional College is committed to supporting Young Adult Carers and recognises the importance of promoting and supporting students that have caring responsibilities for a family member, partner or friend at their home. NWRC believes that all Young Adult Carers have the right to an education regardless of their commitment to providing care for a family member. </w:t>
            </w:r>
          </w:p>
        </w:tc>
        <w:tc>
          <w:tcPr>
            <w:tcW w:w="1530" w:type="dxa"/>
          </w:tcPr>
          <w:p w14:paraId="12E1D6BF" w14:textId="024204D0" w:rsidR="005E58C7" w:rsidRDefault="005E58C7" w:rsidP="00210540">
            <w:pPr>
              <w:rPr>
                <w:rFonts w:ascii="Arial" w:hAnsi="Arial" w:cs="Arial"/>
                <w:bCs/>
                <w:sz w:val="28"/>
                <w:szCs w:val="28"/>
              </w:rPr>
            </w:pPr>
            <w:r>
              <w:rPr>
                <w:rFonts w:ascii="Arial" w:hAnsi="Arial" w:cs="Arial"/>
                <w:bCs/>
                <w:sz w:val="28"/>
                <w:szCs w:val="28"/>
              </w:rPr>
              <w:t>Existing</w:t>
            </w:r>
          </w:p>
        </w:tc>
        <w:tc>
          <w:tcPr>
            <w:tcW w:w="1817" w:type="dxa"/>
          </w:tcPr>
          <w:p w14:paraId="7CF80FBC" w14:textId="609870AD" w:rsidR="005E58C7" w:rsidRDefault="005E58C7" w:rsidP="00210540">
            <w:pPr>
              <w:rPr>
                <w:rFonts w:ascii="Arial" w:hAnsi="Arial" w:cs="Arial"/>
                <w:bCs/>
                <w:sz w:val="28"/>
                <w:szCs w:val="28"/>
              </w:rPr>
            </w:pPr>
            <w:r>
              <w:rPr>
                <w:rFonts w:ascii="Arial" w:hAnsi="Arial" w:cs="Arial"/>
                <w:bCs/>
                <w:sz w:val="28"/>
                <w:szCs w:val="28"/>
              </w:rPr>
              <w:t>22 February 2023</w:t>
            </w:r>
          </w:p>
        </w:tc>
        <w:tc>
          <w:tcPr>
            <w:tcW w:w="3882" w:type="dxa"/>
          </w:tcPr>
          <w:p w14:paraId="5380A1E5" w14:textId="74D2EDD2" w:rsidR="005E58C7" w:rsidRPr="00A53210" w:rsidRDefault="005E58C7" w:rsidP="00210540">
            <w:pPr>
              <w:rPr>
                <w:rFonts w:ascii="Arial" w:eastAsia="Times New Roman" w:hAnsi="Arial" w:cs="Arial"/>
                <w:sz w:val="28"/>
                <w:szCs w:val="28"/>
              </w:rPr>
            </w:pPr>
            <w:r w:rsidRPr="005E58C7">
              <w:rPr>
                <w:rFonts w:ascii="Arial" w:eastAsia="Times New Roman" w:hAnsi="Arial" w:cs="Arial"/>
                <w:sz w:val="28"/>
                <w:szCs w:val="28"/>
              </w:rPr>
              <w:t xml:space="preserve">The Young Adult Carer policy has been developed to acknowledge the support that may </w:t>
            </w:r>
            <w:r>
              <w:rPr>
                <w:rFonts w:ascii="Arial" w:eastAsia="Times New Roman" w:hAnsi="Arial" w:cs="Arial"/>
                <w:sz w:val="28"/>
                <w:szCs w:val="28"/>
              </w:rPr>
              <w:t xml:space="preserve">be </w:t>
            </w:r>
            <w:r w:rsidRPr="005E58C7">
              <w:rPr>
                <w:rFonts w:ascii="Arial" w:eastAsia="Times New Roman" w:hAnsi="Arial" w:cs="Arial"/>
                <w:sz w:val="28"/>
                <w:szCs w:val="28"/>
              </w:rPr>
              <w:t>require</w:t>
            </w:r>
            <w:r>
              <w:rPr>
                <w:rFonts w:ascii="Arial" w:eastAsia="Times New Roman" w:hAnsi="Arial" w:cs="Arial"/>
                <w:sz w:val="28"/>
                <w:szCs w:val="28"/>
              </w:rPr>
              <w:t>d</w:t>
            </w:r>
            <w:r w:rsidRPr="005E58C7">
              <w:rPr>
                <w:rFonts w:ascii="Arial" w:eastAsia="Times New Roman" w:hAnsi="Arial" w:cs="Arial"/>
                <w:sz w:val="28"/>
                <w:szCs w:val="28"/>
              </w:rPr>
              <w:t xml:space="preserve"> while young carers are studying at the College.  There is no adverse impact on any of the Section 75 categories as other support mechanisms are available for other student carers</w:t>
            </w:r>
          </w:p>
        </w:tc>
      </w:tr>
      <w:tr w:rsidR="0039424B" w:rsidRPr="00537FF3" w14:paraId="0A45B25C" w14:textId="77777777" w:rsidTr="00750941">
        <w:tblPrEx>
          <w:tblLook w:val="04A0" w:firstRow="1" w:lastRow="0" w:firstColumn="1" w:lastColumn="0" w:noHBand="0" w:noVBand="1"/>
        </w:tblPrEx>
        <w:tc>
          <w:tcPr>
            <w:tcW w:w="2689" w:type="dxa"/>
          </w:tcPr>
          <w:p w14:paraId="698F0593" w14:textId="413B9397" w:rsidR="0039424B" w:rsidRDefault="0039424B" w:rsidP="00BC24A5">
            <w:pPr>
              <w:rPr>
                <w:rFonts w:ascii="Arial" w:hAnsi="Arial" w:cs="Arial"/>
                <w:bCs/>
                <w:sz w:val="28"/>
                <w:szCs w:val="28"/>
              </w:rPr>
            </w:pPr>
            <w:r>
              <w:rPr>
                <w:rFonts w:ascii="Arial" w:hAnsi="Arial" w:cs="Arial"/>
                <w:bCs/>
                <w:sz w:val="28"/>
                <w:szCs w:val="28"/>
              </w:rPr>
              <w:t xml:space="preserve">Carers Leave </w:t>
            </w:r>
            <w:r w:rsidR="00505643">
              <w:rPr>
                <w:rFonts w:ascii="Arial" w:hAnsi="Arial" w:cs="Arial"/>
                <w:bCs/>
                <w:sz w:val="28"/>
                <w:szCs w:val="28"/>
              </w:rPr>
              <w:t>for Support Staff</w:t>
            </w:r>
          </w:p>
        </w:tc>
        <w:tc>
          <w:tcPr>
            <w:tcW w:w="5583" w:type="dxa"/>
          </w:tcPr>
          <w:p w14:paraId="66BA457D" w14:textId="77777777" w:rsidR="00505643" w:rsidRPr="00505643" w:rsidRDefault="00505643" w:rsidP="00505643">
            <w:pPr>
              <w:rPr>
                <w:rFonts w:ascii="Arial" w:eastAsia="Times New Roman" w:hAnsi="Arial" w:cs="Arial"/>
                <w:b/>
                <w:bCs/>
                <w:sz w:val="28"/>
                <w:szCs w:val="28"/>
              </w:rPr>
            </w:pPr>
            <w:r w:rsidRPr="00505643">
              <w:rPr>
                <w:rFonts w:ascii="Arial" w:eastAsia="Times New Roman" w:hAnsi="Arial" w:cs="Arial"/>
                <w:sz w:val="28"/>
                <w:szCs w:val="28"/>
              </w:rPr>
              <w:t>To provide a framework for management to grant time off work to staff who are experiencing short-term domestic difficulties such as those associated with the care of sick or elderly relatives and/or children of school age.</w:t>
            </w:r>
          </w:p>
          <w:p w14:paraId="2ED5CC3E" w14:textId="77777777" w:rsidR="0039424B" w:rsidRPr="00A53210" w:rsidRDefault="0039424B" w:rsidP="00A53210">
            <w:pPr>
              <w:rPr>
                <w:rFonts w:ascii="Arial" w:eastAsia="Times New Roman" w:hAnsi="Arial" w:cs="Arial"/>
                <w:sz w:val="28"/>
                <w:szCs w:val="28"/>
              </w:rPr>
            </w:pPr>
          </w:p>
        </w:tc>
        <w:tc>
          <w:tcPr>
            <w:tcW w:w="1530" w:type="dxa"/>
          </w:tcPr>
          <w:p w14:paraId="5B093951" w14:textId="710BFBEE" w:rsidR="0039424B" w:rsidRDefault="00505643" w:rsidP="00BC24A5">
            <w:pPr>
              <w:rPr>
                <w:rFonts w:ascii="Arial" w:hAnsi="Arial" w:cs="Arial"/>
                <w:bCs/>
                <w:sz w:val="28"/>
                <w:szCs w:val="28"/>
              </w:rPr>
            </w:pPr>
            <w:r>
              <w:rPr>
                <w:rFonts w:ascii="Arial" w:hAnsi="Arial" w:cs="Arial"/>
                <w:bCs/>
                <w:sz w:val="28"/>
                <w:szCs w:val="28"/>
              </w:rPr>
              <w:t>Existing</w:t>
            </w:r>
          </w:p>
        </w:tc>
        <w:tc>
          <w:tcPr>
            <w:tcW w:w="1817" w:type="dxa"/>
          </w:tcPr>
          <w:p w14:paraId="0BE8CD9E" w14:textId="5BF789FF" w:rsidR="0039424B" w:rsidRDefault="00505643" w:rsidP="00BC24A5">
            <w:pPr>
              <w:rPr>
                <w:rFonts w:ascii="Arial" w:hAnsi="Arial" w:cs="Arial"/>
                <w:bCs/>
                <w:sz w:val="28"/>
                <w:szCs w:val="28"/>
              </w:rPr>
            </w:pPr>
            <w:r>
              <w:rPr>
                <w:rFonts w:ascii="Arial" w:hAnsi="Arial" w:cs="Arial"/>
                <w:bCs/>
                <w:sz w:val="28"/>
                <w:szCs w:val="28"/>
              </w:rPr>
              <w:t>24 February 2023</w:t>
            </w:r>
          </w:p>
        </w:tc>
        <w:tc>
          <w:tcPr>
            <w:tcW w:w="3882" w:type="dxa"/>
          </w:tcPr>
          <w:p w14:paraId="7D24DD2B" w14:textId="19F9332A" w:rsidR="0039424B" w:rsidRPr="00A53210" w:rsidRDefault="00505643" w:rsidP="00BC24A5">
            <w:pPr>
              <w:rPr>
                <w:rFonts w:ascii="Arial" w:eastAsia="Times New Roman" w:hAnsi="Arial" w:cs="Arial"/>
                <w:sz w:val="28"/>
                <w:szCs w:val="28"/>
              </w:rPr>
            </w:pPr>
            <w:r w:rsidRPr="00505643">
              <w:rPr>
                <w:rFonts w:ascii="Arial" w:eastAsia="Times New Roman" w:hAnsi="Arial" w:cs="Arial"/>
                <w:sz w:val="28"/>
                <w:szCs w:val="28"/>
              </w:rPr>
              <w:t>Policy does not have any adverse impact on support staff as those with caring responsibilities are able to request carers’ leave, as necessary</w:t>
            </w:r>
          </w:p>
        </w:tc>
      </w:tr>
      <w:tr w:rsidR="0039424B" w:rsidRPr="00537FF3" w14:paraId="7A042163" w14:textId="77777777" w:rsidTr="00750941">
        <w:tblPrEx>
          <w:tblLook w:val="04A0" w:firstRow="1" w:lastRow="0" w:firstColumn="1" w:lastColumn="0" w:noHBand="0" w:noVBand="1"/>
        </w:tblPrEx>
        <w:tc>
          <w:tcPr>
            <w:tcW w:w="2689" w:type="dxa"/>
          </w:tcPr>
          <w:p w14:paraId="4B751284" w14:textId="77EA2BEA" w:rsidR="0039424B" w:rsidRDefault="0039424B" w:rsidP="00BC24A5">
            <w:pPr>
              <w:rPr>
                <w:rFonts w:ascii="Arial" w:hAnsi="Arial" w:cs="Arial"/>
                <w:bCs/>
                <w:sz w:val="28"/>
                <w:szCs w:val="28"/>
              </w:rPr>
            </w:pPr>
            <w:r>
              <w:rPr>
                <w:rFonts w:ascii="Arial" w:hAnsi="Arial" w:cs="Arial"/>
                <w:bCs/>
                <w:sz w:val="28"/>
                <w:szCs w:val="28"/>
              </w:rPr>
              <w:lastRenderedPageBreak/>
              <w:t>Equal Opportunities Policy</w:t>
            </w:r>
          </w:p>
        </w:tc>
        <w:tc>
          <w:tcPr>
            <w:tcW w:w="5583" w:type="dxa"/>
          </w:tcPr>
          <w:p w14:paraId="65541FCD" w14:textId="4CDF3EFF" w:rsidR="0039424B" w:rsidRPr="00A53210" w:rsidRDefault="00505643" w:rsidP="00505643">
            <w:pPr>
              <w:rPr>
                <w:rFonts w:ascii="Arial" w:eastAsia="Times New Roman" w:hAnsi="Arial" w:cs="Arial"/>
                <w:sz w:val="28"/>
                <w:szCs w:val="28"/>
              </w:rPr>
            </w:pPr>
            <w:r w:rsidRPr="00505643">
              <w:rPr>
                <w:rFonts w:ascii="Arial" w:eastAsia="Times New Roman" w:hAnsi="Arial" w:cs="Arial"/>
                <w:sz w:val="28"/>
                <w:szCs w:val="28"/>
              </w:rPr>
              <w:t xml:space="preserve">The aim of this policy statement is to emphasise the commitment of the North West Regional College, to securing equality of opportunity for all employees and applicants to the College.  </w:t>
            </w:r>
          </w:p>
        </w:tc>
        <w:tc>
          <w:tcPr>
            <w:tcW w:w="1530" w:type="dxa"/>
          </w:tcPr>
          <w:p w14:paraId="6754F11C" w14:textId="26303225" w:rsidR="0039424B" w:rsidRDefault="00505643" w:rsidP="00BC24A5">
            <w:pPr>
              <w:rPr>
                <w:rFonts w:ascii="Arial" w:hAnsi="Arial" w:cs="Arial"/>
                <w:bCs/>
                <w:sz w:val="28"/>
                <w:szCs w:val="28"/>
              </w:rPr>
            </w:pPr>
            <w:r>
              <w:rPr>
                <w:rFonts w:ascii="Arial" w:hAnsi="Arial" w:cs="Arial"/>
                <w:bCs/>
                <w:sz w:val="28"/>
                <w:szCs w:val="28"/>
              </w:rPr>
              <w:t>Existing</w:t>
            </w:r>
          </w:p>
        </w:tc>
        <w:tc>
          <w:tcPr>
            <w:tcW w:w="1817" w:type="dxa"/>
          </w:tcPr>
          <w:p w14:paraId="40B29FC1" w14:textId="702CB6F5" w:rsidR="0039424B" w:rsidRDefault="00505643" w:rsidP="00BC24A5">
            <w:pPr>
              <w:rPr>
                <w:rFonts w:ascii="Arial" w:hAnsi="Arial" w:cs="Arial"/>
                <w:bCs/>
                <w:sz w:val="28"/>
                <w:szCs w:val="28"/>
              </w:rPr>
            </w:pPr>
            <w:r>
              <w:rPr>
                <w:rFonts w:ascii="Arial" w:hAnsi="Arial" w:cs="Arial"/>
                <w:bCs/>
                <w:sz w:val="28"/>
                <w:szCs w:val="28"/>
              </w:rPr>
              <w:t>24 February 2023</w:t>
            </w:r>
          </w:p>
        </w:tc>
        <w:tc>
          <w:tcPr>
            <w:tcW w:w="3882" w:type="dxa"/>
          </w:tcPr>
          <w:p w14:paraId="1FA78E20" w14:textId="38D91144" w:rsidR="0039424B" w:rsidRPr="00A53210" w:rsidRDefault="00505643" w:rsidP="00BC24A5">
            <w:pPr>
              <w:rPr>
                <w:rFonts w:ascii="Arial" w:eastAsia="Times New Roman" w:hAnsi="Arial" w:cs="Arial"/>
                <w:sz w:val="28"/>
                <w:szCs w:val="28"/>
              </w:rPr>
            </w:pPr>
            <w:r w:rsidRPr="00505643">
              <w:rPr>
                <w:rFonts w:ascii="Arial" w:eastAsia="Times New Roman" w:hAnsi="Arial" w:cs="Arial"/>
                <w:sz w:val="28"/>
                <w:szCs w:val="28"/>
              </w:rPr>
              <w:t>This Policy will ensure equality of opportunity regardless of the Section 75 equality category.  There is no impact.</w:t>
            </w:r>
          </w:p>
        </w:tc>
      </w:tr>
      <w:tr w:rsidR="00505643" w:rsidRPr="00537FF3" w14:paraId="69E8AA56" w14:textId="77777777" w:rsidTr="00750941">
        <w:tblPrEx>
          <w:tblLook w:val="04A0" w:firstRow="1" w:lastRow="0" w:firstColumn="1" w:lastColumn="0" w:noHBand="0" w:noVBand="1"/>
        </w:tblPrEx>
        <w:tc>
          <w:tcPr>
            <w:tcW w:w="2689" w:type="dxa"/>
          </w:tcPr>
          <w:p w14:paraId="19EC38F3" w14:textId="603914AF" w:rsidR="00505643" w:rsidRDefault="00505643" w:rsidP="00BC24A5">
            <w:pPr>
              <w:rPr>
                <w:rFonts w:ascii="Arial" w:hAnsi="Arial" w:cs="Arial"/>
                <w:bCs/>
                <w:sz w:val="28"/>
                <w:szCs w:val="28"/>
              </w:rPr>
            </w:pPr>
            <w:r>
              <w:rPr>
                <w:rFonts w:ascii="Arial" w:hAnsi="Arial" w:cs="Arial"/>
                <w:bCs/>
                <w:sz w:val="28"/>
                <w:szCs w:val="28"/>
              </w:rPr>
              <w:t>Access to Information Policy</w:t>
            </w:r>
          </w:p>
        </w:tc>
        <w:tc>
          <w:tcPr>
            <w:tcW w:w="5583" w:type="dxa"/>
          </w:tcPr>
          <w:p w14:paraId="3FDB8CF0" w14:textId="77777777" w:rsidR="005E58C7" w:rsidRPr="005E58C7" w:rsidRDefault="005E58C7" w:rsidP="005E58C7">
            <w:pPr>
              <w:rPr>
                <w:rFonts w:ascii="Arial" w:eastAsia="Times New Roman" w:hAnsi="Arial" w:cs="Arial"/>
                <w:sz w:val="28"/>
                <w:szCs w:val="28"/>
              </w:rPr>
            </w:pPr>
            <w:r w:rsidRPr="005E58C7">
              <w:rPr>
                <w:rFonts w:ascii="Arial" w:eastAsia="Times New Roman" w:hAnsi="Arial" w:cs="Arial"/>
                <w:sz w:val="28"/>
                <w:szCs w:val="28"/>
              </w:rPr>
              <w:t>The purpose of this policy is to guide the College in its management of Information requests, outline roles and responsibilities and to establish procedures for the management of requests under:</w:t>
            </w:r>
          </w:p>
          <w:p w14:paraId="64BA9F8A" w14:textId="77777777" w:rsidR="005E58C7" w:rsidRPr="005E58C7" w:rsidRDefault="005E58C7" w:rsidP="005E58C7">
            <w:pPr>
              <w:numPr>
                <w:ilvl w:val="0"/>
                <w:numId w:val="1"/>
              </w:numPr>
              <w:rPr>
                <w:rFonts w:ascii="Arial" w:eastAsia="Times New Roman" w:hAnsi="Arial" w:cs="Arial"/>
                <w:sz w:val="28"/>
                <w:szCs w:val="28"/>
              </w:rPr>
            </w:pPr>
            <w:r w:rsidRPr="005E58C7">
              <w:rPr>
                <w:rFonts w:ascii="Arial" w:eastAsia="Times New Roman" w:hAnsi="Arial" w:cs="Arial"/>
                <w:sz w:val="28"/>
                <w:szCs w:val="28"/>
              </w:rPr>
              <w:t>Freedom of Information Act 2000</w:t>
            </w:r>
          </w:p>
          <w:p w14:paraId="66874E7E" w14:textId="77777777" w:rsidR="005E58C7" w:rsidRPr="005E58C7" w:rsidRDefault="005E58C7" w:rsidP="005E58C7">
            <w:pPr>
              <w:numPr>
                <w:ilvl w:val="0"/>
                <w:numId w:val="1"/>
              </w:numPr>
              <w:rPr>
                <w:rFonts w:ascii="Arial" w:eastAsia="Times New Roman" w:hAnsi="Arial" w:cs="Arial"/>
                <w:sz w:val="28"/>
                <w:szCs w:val="28"/>
              </w:rPr>
            </w:pPr>
            <w:r w:rsidRPr="005E58C7">
              <w:rPr>
                <w:rFonts w:ascii="Arial" w:eastAsia="Times New Roman" w:hAnsi="Arial" w:cs="Arial"/>
                <w:sz w:val="28"/>
                <w:szCs w:val="28"/>
              </w:rPr>
              <w:t>Environmental Information Regulations 2004</w:t>
            </w:r>
          </w:p>
          <w:p w14:paraId="165171B6" w14:textId="77777777" w:rsidR="00505643" w:rsidRPr="00A53210" w:rsidRDefault="00505643" w:rsidP="00A53210">
            <w:pPr>
              <w:rPr>
                <w:rFonts w:ascii="Arial" w:eastAsia="Times New Roman" w:hAnsi="Arial" w:cs="Arial"/>
                <w:sz w:val="28"/>
                <w:szCs w:val="28"/>
              </w:rPr>
            </w:pPr>
          </w:p>
        </w:tc>
        <w:tc>
          <w:tcPr>
            <w:tcW w:w="1530" w:type="dxa"/>
          </w:tcPr>
          <w:p w14:paraId="4D8405C5" w14:textId="769C6B4F" w:rsidR="00505643" w:rsidRDefault="005E58C7" w:rsidP="00BC24A5">
            <w:pPr>
              <w:rPr>
                <w:rFonts w:ascii="Arial" w:hAnsi="Arial" w:cs="Arial"/>
                <w:bCs/>
                <w:sz w:val="28"/>
                <w:szCs w:val="28"/>
              </w:rPr>
            </w:pPr>
            <w:r>
              <w:rPr>
                <w:rFonts w:ascii="Arial" w:hAnsi="Arial" w:cs="Arial"/>
                <w:bCs/>
                <w:sz w:val="28"/>
                <w:szCs w:val="28"/>
              </w:rPr>
              <w:t>Revised</w:t>
            </w:r>
          </w:p>
        </w:tc>
        <w:tc>
          <w:tcPr>
            <w:tcW w:w="1817" w:type="dxa"/>
          </w:tcPr>
          <w:p w14:paraId="5CDE2850" w14:textId="657AD8FD" w:rsidR="00505643" w:rsidRDefault="005E58C7" w:rsidP="00BC24A5">
            <w:pPr>
              <w:rPr>
                <w:rFonts w:ascii="Arial" w:hAnsi="Arial" w:cs="Arial"/>
                <w:bCs/>
                <w:sz w:val="28"/>
                <w:szCs w:val="28"/>
              </w:rPr>
            </w:pPr>
            <w:r>
              <w:rPr>
                <w:rFonts w:ascii="Arial" w:hAnsi="Arial" w:cs="Arial"/>
                <w:bCs/>
                <w:sz w:val="28"/>
                <w:szCs w:val="28"/>
              </w:rPr>
              <w:t>27 February 2023</w:t>
            </w:r>
          </w:p>
        </w:tc>
        <w:tc>
          <w:tcPr>
            <w:tcW w:w="3882" w:type="dxa"/>
          </w:tcPr>
          <w:p w14:paraId="51BD656B" w14:textId="6C2D323C" w:rsidR="00505643" w:rsidRPr="00A53210" w:rsidRDefault="005E58C7" w:rsidP="00BC24A5">
            <w:pPr>
              <w:rPr>
                <w:rFonts w:ascii="Arial" w:eastAsia="Times New Roman" w:hAnsi="Arial" w:cs="Arial"/>
                <w:sz w:val="28"/>
                <w:szCs w:val="28"/>
              </w:rPr>
            </w:pPr>
            <w:r w:rsidRPr="005E58C7">
              <w:rPr>
                <w:rFonts w:ascii="Arial" w:eastAsia="Times New Roman" w:hAnsi="Arial" w:cs="Arial"/>
                <w:sz w:val="28"/>
                <w:szCs w:val="28"/>
              </w:rPr>
              <w:t>No negative impact on all nine equality categories</w:t>
            </w:r>
          </w:p>
        </w:tc>
      </w:tr>
      <w:tr w:rsidR="00505643" w:rsidRPr="00537FF3" w14:paraId="68A0B695" w14:textId="77777777" w:rsidTr="00750941">
        <w:tblPrEx>
          <w:tblLook w:val="04A0" w:firstRow="1" w:lastRow="0" w:firstColumn="1" w:lastColumn="0" w:noHBand="0" w:noVBand="1"/>
        </w:tblPrEx>
        <w:tc>
          <w:tcPr>
            <w:tcW w:w="2689" w:type="dxa"/>
          </w:tcPr>
          <w:p w14:paraId="0B622563" w14:textId="15334DB8" w:rsidR="00505643" w:rsidRPr="00D7457D" w:rsidRDefault="00263035" w:rsidP="00BC24A5">
            <w:pPr>
              <w:rPr>
                <w:rFonts w:ascii="Arial" w:hAnsi="Arial" w:cs="Arial"/>
                <w:bCs/>
                <w:sz w:val="28"/>
                <w:szCs w:val="28"/>
              </w:rPr>
            </w:pPr>
            <w:r w:rsidRPr="00D7457D">
              <w:rPr>
                <w:rFonts w:ascii="Arial" w:hAnsi="Arial" w:cs="Arial"/>
                <w:bCs/>
                <w:sz w:val="28"/>
                <w:szCs w:val="28"/>
              </w:rPr>
              <w:t>Social Media Policy</w:t>
            </w:r>
          </w:p>
        </w:tc>
        <w:tc>
          <w:tcPr>
            <w:tcW w:w="5583" w:type="dxa"/>
          </w:tcPr>
          <w:p w14:paraId="0BFF8D0F" w14:textId="77777777" w:rsidR="00263035" w:rsidRPr="00D7457D" w:rsidRDefault="00263035" w:rsidP="00263035">
            <w:pPr>
              <w:rPr>
                <w:rFonts w:ascii="Arial" w:eastAsia="Times New Roman" w:hAnsi="Arial" w:cs="Arial"/>
                <w:sz w:val="28"/>
                <w:szCs w:val="28"/>
              </w:rPr>
            </w:pPr>
            <w:r w:rsidRPr="00D7457D">
              <w:rPr>
                <w:rFonts w:ascii="Arial" w:eastAsia="Times New Roman" w:hAnsi="Arial" w:cs="Arial"/>
                <w:sz w:val="28"/>
                <w:szCs w:val="28"/>
              </w:rPr>
              <w:t>The aims of the policy are to assist staff to encourage good practice, to assist staff to work safely, legally and responsibly with social networking technology and to monitor their own standards and practices; set clear expectations of behaviour relevant to social networking for educational, personal or recreational use and details the aspects of safer online behaviour; support safer working practices and to clarify the consequences of unlawful or inappropriate behaviour.</w:t>
            </w:r>
          </w:p>
          <w:p w14:paraId="4F410860" w14:textId="77777777" w:rsidR="00505643" w:rsidRPr="00D7457D" w:rsidRDefault="00505643" w:rsidP="00A53210">
            <w:pPr>
              <w:rPr>
                <w:rFonts w:ascii="Arial" w:eastAsia="Times New Roman" w:hAnsi="Arial" w:cs="Arial"/>
                <w:sz w:val="28"/>
                <w:szCs w:val="28"/>
              </w:rPr>
            </w:pPr>
          </w:p>
        </w:tc>
        <w:tc>
          <w:tcPr>
            <w:tcW w:w="1530" w:type="dxa"/>
          </w:tcPr>
          <w:p w14:paraId="0CEB3AAC" w14:textId="660E2EBA" w:rsidR="00505643" w:rsidRPr="00D7457D" w:rsidRDefault="00263035" w:rsidP="00BC24A5">
            <w:pPr>
              <w:rPr>
                <w:rFonts w:ascii="Arial" w:hAnsi="Arial" w:cs="Arial"/>
                <w:bCs/>
                <w:sz w:val="28"/>
                <w:szCs w:val="28"/>
              </w:rPr>
            </w:pPr>
            <w:r w:rsidRPr="00D7457D">
              <w:rPr>
                <w:rFonts w:ascii="Arial" w:hAnsi="Arial" w:cs="Arial"/>
                <w:bCs/>
                <w:sz w:val="28"/>
                <w:szCs w:val="28"/>
              </w:rPr>
              <w:t>Existing</w:t>
            </w:r>
          </w:p>
        </w:tc>
        <w:tc>
          <w:tcPr>
            <w:tcW w:w="1817" w:type="dxa"/>
          </w:tcPr>
          <w:p w14:paraId="37368C43" w14:textId="3D0A6626" w:rsidR="00505643" w:rsidRPr="00D7457D" w:rsidRDefault="00263035" w:rsidP="00BC24A5">
            <w:pPr>
              <w:rPr>
                <w:rFonts w:ascii="Arial" w:hAnsi="Arial" w:cs="Arial"/>
                <w:bCs/>
                <w:sz w:val="28"/>
                <w:szCs w:val="28"/>
              </w:rPr>
            </w:pPr>
            <w:r w:rsidRPr="00D7457D">
              <w:rPr>
                <w:rFonts w:ascii="Arial" w:hAnsi="Arial" w:cs="Arial"/>
                <w:bCs/>
                <w:sz w:val="28"/>
                <w:szCs w:val="28"/>
              </w:rPr>
              <w:t>10 March 2023</w:t>
            </w:r>
          </w:p>
        </w:tc>
        <w:tc>
          <w:tcPr>
            <w:tcW w:w="3882" w:type="dxa"/>
          </w:tcPr>
          <w:p w14:paraId="42AFAD86" w14:textId="7C087D67" w:rsidR="00505643" w:rsidRPr="00A53210" w:rsidRDefault="00263035" w:rsidP="00BC24A5">
            <w:pPr>
              <w:rPr>
                <w:rFonts w:ascii="Arial" w:eastAsia="Times New Roman" w:hAnsi="Arial" w:cs="Arial"/>
                <w:sz w:val="28"/>
                <w:szCs w:val="28"/>
              </w:rPr>
            </w:pPr>
            <w:r w:rsidRPr="00D7457D">
              <w:rPr>
                <w:rFonts w:ascii="Arial" w:eastAsia="Times New Roman" w:hAnsi="Arial" w:cs="Arial"/>
                <w:sz w:val="28"/>
                <w:szCs w:val="28"/>
              </w:rPr>
              <w:t>The policy relates to staff usage of social media and other similar services.  There are no adverse impacts on any of the S75 equality categories</w:t>
            </w:r>
          </w:p>
        </w:tc>
      </w:tr>
      <w:tr w:rsidR="00890C4E" w:rsidRPr="00537FF3" w14:paraId="7087AD90" w14:textId="77777777" w:rsidTr="00750941">
        <w:tblPrEx>
          <w:tblLook w:val="04A0" w:firstRow="1" w:lastRow="0" w:firstColumn="1" w:lastColumn="0" w:noHBand="0" w:noVBand="1"/>
        </w:tblPrEx>
        <w:tc>
          <w:tcPr>
            <w:tcW w:w="2689" w:type="dxa"/>
            <w:shd w:val="clear" w:color="auto" w:fill="auto"/>
          </w:tcPr>
          <w:p w14:paraId="7FE941BB" w14:textId="65749272" w:rsidR="00890C4E" w:rsidRPr="009E6C7F" w:rsidRDefault="008A69C8" w:rsidP="00BC24A5">
            <w:pPr>
              <w:rPr>
                <w:rFonts w:ascii="Arial" w:hAnsi="Arial" w:cs="Arial"/>
                <w:bCs/>
                <w:sz w:val="28"/>
                <w:szCs w:val="28"/>
              </w:rPr>
            </w:pPr>
            <w:r w:rsidRPr="009E6C7F">
              <w:rPr>
                <w:rFonts w:ascii="Arial" w:hAnsi="Arial" w:cs="Arial"/>
                <w:bCs/>
                <w:sz w:val="28"/>
                <w:szCs w:val="28"/>
              </w:rPr>
              <w:lastRenderedPageBreak/>
              <w:t>Waste Management Policy</w:t>
            </w:r>
          </w:p>
        </w:tc>
        <w:tc>
          <w:tcPr>
            <w:tcW w:w="5583" w:type="dxa"/>
          </w:tcPr>
          <w:p w14:paraId="0B1C7135" w14:textId="77777777" w:rsidR="00D4353E" w:rsidRPr="00D4353E" w:rsidRDefault="00D4353E" w:rsidP="00D4353E">
            <w:pPr>
              <w:rPr>
                <w:rFonts w:ascii="Arial" w:eastAsia="Times New Roman" w:hAnsi="Arial" w:cs="Arial"/>
                <w:sz w:val="28"/>
                <w:szCs w:val="28"/>
              </w:rPr>
            </w:pPr>
            <w:r w:rsidRPr="00D4353E">
              <w:rPr>
                <w:rFonts w:ascii="Arial" w:eastAsia="Times New Roman" w:hAnsi="Arial" w:cs="Arial"/>
                <w:sz w:val="28"/>
                <w:szCs w:val="28"/>
              </w:rPr>
              <w:t xml:space="preserve">Due to the diverse nature of activities on the College campus, a wide variety of wastes are produced and collected, ranging from general wastes and recyclable materials, through to special and hazardous wastes. The College has a duty to ensure that all of these wastes are disposed of responsibly, using approved, registered waste contractors. This policy sets down the framework for all waste management at the College. </w:t>
            </w:r>
          </w:p>
          <w:p w14:paraId="328B927C" w14:textId="77777777" w:rsidR="00890C4E" w:rsidRPr="00263035" w:rsidRDefault="00890C4E" w:rsidP="00263035">
            <w:pPr>
              <w:rPr>
                <w:rFonts w:ascii="Arial" w:eastAsia="Times New Roman" w:hAnsi="Arial" w:cs="Arial"/>
                <w:sz w:val="28"/>
                <w:szCs w:val="28"/>
              </w:rPr>
            </w:pPr>
          </w:p>
        </w:tc>
        <w:tc>
          <w:tcPr>
            <w:tcW w:w="1530" w:type="dxa"/>
          </w:tcPr>
          <w:p w14:paraId="2F7F6C26" w14:textId="4FC4826F" w:rsidR="00890C4E" w:rsidRDefault="00D4353E" w:rsidP="00BC24A5">
            <w:pPr>
              <w:rPr>
                <w:rFonts w:ascii="Arial" w:hAnsi="Arial" w:cs="Arial"/>
                <w:bCs/>
                <w:sz w:val="28"/>
                <w:szCs w:val="28"/>
              </w:rPr>
            </w:pPr>
            <w:r>
              <w:rPr>
                <w:rFonts w:ascii="Arial" w:hAnsi="Arial" w:cs="Arial"/>
                <w:bCs/>
                <w:sz w:val="28"/>
                <w:szCs w:val="28"/>
              </w:rPr>
              <w:t>Revised</w:t>
            </w:r>
          </w:p>
        </w:tc>
        <w:tc>
          <w:tcPr>
            <w:tcW w:w="1817" w:type="dxa"/>
          </w:tcPr>
          <w:p w14:paraId="4664C41F" w14:textId="540E2072" w:rsidR="00890C4E" w:rsidRDefault="00D4353E" w:rsidP="00BC24A5">
            <w:pPr>
              <w:rPr>
                <w:rFonts w:ascii="Arial" w:hAnsi="Arial" w:cs="Arial"/>
                <w:bCs/>
                <w:sz w:val="28"/>
                <w:szCs w:val="28"/>
              </w:rPr>
            </w:pPr>
            <w:r>
              <w:rPr>
                <w:rFonts w:ascii="Arial" w:hAnsi="Arial" w:cs="Arial"/>
                <w:bCs/>
                <w:sz w:val="28"/>
                <w:szCs w:val="28"/>
              </w:rPr>
              <w:t>27 March 2023</w:t>
            </w:r>
          </w:p>
        </w:tc>
        <w:tc>
          <w:tcPr>
            <w:tcW w:w="3882" w:type="dxa"/>
          </w:tcPr>
          <w:p w14:paraId="22C4BCB2" w14:textId="0B4C7A37" w:rsidR="00890C4E" w:rsidRPr="00263035" w:rsidRDefault="00D4353E" w:rsidP="00BC24A5">
            <w:pPr>
              <w:rPr>
                <w:rFonts w:ascii="Arial" w:eastAsia="Times New Roman" w:hAnsi="Arial" w:cs="Arial"/>
                <w:sz w:val="28"/>
                <w:szCs w:val="28"/>
              </w:rPr>
            </w:pPr>
            <w:r w:rsidRPr="00D4353E">
              <w:rPr>
                <w:rFonts w:ascii="Arial" w:eastAsia="Times New Roman" w:hAnsi="Arial" w:cs="Arial"/>
                <w:sz w:val="28"/>
                <w:szCs w:val="28"/>
              </w:rPr>
              <w:t>No impact on any of the Section 75 equality categories</w:t>
            </w:r>
          </w:p>
        </w:tc>
      </w:tr>
      <w:tr w:rsidR="007C320D" w:rsidRPr="00537FF3" w14:paraId="1DC7CBD9" w14:textId="77777777" w:rsidTr="00750941">
        <w:tblPrEx>
          <w:tblLook w:val="04A0" w:firstRow="1" w:lastRow="0" w:firstColumn="1" w:lastColumn="0" w:noHBand="0" w:noVBand="1"/>
        </w:tblPrEx>
        <w:tc>
          <w:tcPr>
            <w:tcW w:w="2689" w:type="dxa"/>
            <w:shd w:val="clear" w:color="auto" w:fill="auto"/>
          </w:tcPr>
          <w:p w14:paraId="4FF40CAE" w14:textId="3A18FCBD" w:rsidR="007C320D" w:rsidRPr="009E6C7F" w:rsidRDefault="007C320D" w:rsidP="00BC24A5">
            <w:pPr>
              <w:rPr>
                <w:rFonts w:ascii="Arial" w:hAnsi="Arial" w:cs="Arial"/>
                <w:bCs/>
                <w:sz w:val="28"/>
                <w:szCs w:val="28"/>
              </w:rPr>
            </w:pPr>
            <w:r w:rsidRPr="009E6C7F">
              <w:rPr>
                <w:rFonts w:ascii="Arial" w:hAnsi="Arial" w:cs="Arial"/>
                <w:bCs/>
                <w:sz w:val="28"/>
                <w:szCs w:val="28"/>
              </w:rPr>
              <w:t>Emergency Assistance Requests Procedure</w:t>
            </w:r>
          </w:p>
        </w:tc>
        <w:tc>
          <w:tcPr>
            <w:tcW w:w="5583" w:type="dxa"/>
          </w:tcPr>
          <w:p w14:paraId="585B1A83" w14:textId="2B6C16F4" w:rsidR="00D4353E" w:rsidRDefault="00D4353E" w:rsidP="00D4353E">
            <w:pPr>
              <w:rPr>
                <w:rFonts w:ascii="Arial" w:eastAsia="Times New Roman" w:hAnsi="Arial" w:cs="Arial"/>
                <w:sz w:val="28"/>
                <w:szCs w:val="28"/>
              </w:rPr>
            </w:pPr>
            <w:r w:rsidRPr="00D4353E">
              <w:rPr>
                <w:rFonts w:ascii="Arial" w:eastAsia="Times New Roman" w:hAnsi="Arial" w:cs="Arial"/>
                <w:sz w:val="28"/>
                <w:szCs w:val="28"/>
              </w:rPr>
              <w:t>A review of security has been undertaken in respect of providing emergency assistance to staff at all College owned accommodation.</w:t>
            </w:r>
          </w:p>
          <w:p w14:paraId="6CB96A47" w14:textId="77777777" w:rsidR="00D4353E" w:rsidRPr="00D4353E" w:rsidRDefault="00D4353E" w:rsidP="00D4353E">
            <w:pPr>
              <w:rPr>
                <w:rFonts w:ascii="Arial" w:eastAsia="Times New Roman" w:hAnsi="Arial" w:cs="Arial"/>
                <w:sz w:val="28"/>
                <w:szCs w:val="28"/>
              </w:rPr>
            </w:pPr>
          </w:p>
          <w:p w14:paraId="508C1F22" w14:textId="3F7081DD" w:rsidR="00D4353E" w:rsidRPr="00D4353E" w:rsidRDefault="00D4353E" w:rsidP="00D4353E">
            <w:pPr>
              <w:rPr>
                <w:rFonts w:ascii="Arial" w:eastAsia="Times New Roman" w:hAnsi="Arial" w:cs="Arial"/>
                <w:sz w:val="28"/>
                <w:szCs w:val="28"/>
              </w:rPr>
            </w:pPr>
            <w:r w:rsidRPr="00D4353E">
              <w:rPr>
                <w:rFonts w:ascii="Arial" w:eastAsia="Times New Roman" w:hAnsi="Arial" w:cs="Arial"/>
                <w:sz w:val="28"/>
                <w:szCs w:val="28"/>
              </w:rPr>
              <w:t>The procedure has been implemented to provide, where possible, assistance to staff who feel threatened or in imminent risk.</w:t>
            </w:r>
          </w:p>
          <w:p w14:paraId="60974A2C" w14:textId="77777777" w:rsidR="007C320D" w:rsidRPr="00263035" w:rsidRDefault="007C320D" w:rsidP="00263035">
            <w:pPr>
              <w:rPr>
                <w:rFonts w:ascii="Arial" w:eastAsia="Times New Roman" w:hAnsi="Arial" w:cs="Arial"/>
                <w:sz w:val="28"/>
                <w:szCs w:val="28"/>
              </w:rPr>
            </w:pPr>
          </w:p>
        </w:tc>
        <w:tc>
          <w:tcPr>
            <w:tcW w:w="1530" w:type="dxa"/>
          </w:tcPr>
          <w:p w14:paraId="27056775" w14:textId="49D89A0C" w:rsidR="007C320D" w:rsidRDefault="00D4353E" w:rsidP="00BC24A5">
            <w:pPr>
              <w:rPr>
                <w:rFonts w:ascii="Arial" w:hAnsi="Arial" w:cs="Arial"/>
                <w:bCs/>
                <w:sz w:val="28"/>
                <w:szCs w:val="28"/>
              </w:rPr>
            </w:pPr>
            <w:r>
              <w:rPr>
                <w:rFonts w:ascii="Arial" w:hAnsi="Arial" w:cs="Arial"/>
                <w:bCs/>
                <w:sz w:val="28"/>
                <w:szCs w:val="28"/>
              </w:rPr>
              <w:t>Revised</w:t>
            </w:r>
          </w:p>
        </w:tc>
        <w:tc>
          <w:tcPr>
            <w:tcW w:w="1817" w:type="dxa"/>
          </w:tcPr>
          <w:p w14:paraId="155EB572" w14:textId="26109179" w:rsidR="007C320D" w:rsidRDefault="00D4353E" w:rsidP="00BC24A5">
            <w:pPr>
              <w:rPr>
                <w:rFonts w:ascii="Arial" w:hAnsi="Arial" w:cs="Arial"/>
                <w:bCs/>
                <w:sz w:val="28"/>
                <w:szCs w:val="28"/>
              </w:rPr>
            </w:pPr>
            <w:r>
              <w:rPr>
                <w:rFonts w:ascii="Arial" w:hAnsi="Arial" w:cs="Arial"/>
                <w:bCs/>
                <w:sz w:val="28"/>
                <w:szCs w:val="28"/>
              </w:rPr>
              <w:t>27 March 2023</w:t>
            </w:r>
          </w:p>
        </w:tc>
        <w:tc>
          <w:tcPr>
            <w:tcW w:w="3882" w:type="dxa"/>
          </w:tcPr>
          <w:p w14:paraId="6D6383E5" w14:textId="5A339D7F" w:rsidR="007C320D" w:rsidRPr="00263035" w:rsidRDefault="00D4353E" w:rsidP="00BC24A5">
            <w:pPr>
              <w:rPr>
                <w:rFonts w:ascii="Arial" w:eastAsia="Times New Roman" w:hAnsi="Arial" w:cs="Arial"/>
                <w:sz w:val="28"/>
                <w:szCs w:val="28"/>
              </w:rPr>
            </w:pPr>
            <w:r w:rsidRPr="00D4353E">
              <w:rPr>
                <w:rFonts w:ascii="Arial" w:eastAsia="Times New Roman" w:hAnsi="Arial" w:cs="Arial"/>
                <w:sz w:val="28"/>
                <w:szCs w:val="28"/>
              </w:rPr>
              <w:t>No impact on any of the Section 75 equality categories</w:t>
            </w:r>
          </w:p>
        </w:tc>
      </w:tr>
      <w:tr w:rsidR="008D683B" w:rsidRPr="00537FF3" w14:paraId="5BD3AF38" w14:textId="77777777" w:rsidTr="00750941">
        <w:tblPrEx>
          <w:tblLook w:val="04A0" w:firstRow="1" w:lastRow="0" w:firstColumn="1" w:lastColumn="0" w:noHBand="0" w:noVBand="1"/>
        </w:tblPrEx>
        <w:tc>
          <w:tcPr>
            <w:tcW w:w="2689" w:type="dxa"/>
          </w:tcPr>
          <w:p w14:paraId="71344835" w14:textId="6EA011FC" w:rsidR="008D683B" w:rsidRPr="008D683B" w:rsidRDefault="008D683B" w:rsidP="00BC24A5">
            <w:pPr>
              <w:rPr>
                <w:rFonts w:ascii="Arial" w:hAnsi="Arial" w:cs="Arial"/>
                <w:bCs/>
                <w:sz w:val="28"/>
                <w:szCs w:val="28"/>
              </w:rPr>
            </w:pPr>
            <w:r>
              <w:rPr>
                <w:rFonts w:ascii="Arial" w:hAnsi="Arial" w:cs="Arial"/>
                <w:bCs/>
                <w:sz w:val="28"/>
                <w:szCs w:val="28"/>
              </w:rPr>
              <w:t>Word Processing Policy</w:t>
            </w:r>
          </w:p>
        </w:tc>
        <w:tc>
          <w:tcPr>
            <w:tcW w:w="5583" w:type="dxa"/>
          </w:tcPr>
          <w:p w14:paraId="7DC3145C" w14:textId="5A32C34A" w:rsidR="008D683B" w:rsidRPr="00263035" w:rsidRDefault="0099389B" w:rsidP="00750941">
            <w:pPr>
              <w:rPr>
                <w:rFonts w:ascii="Arial" w:eastAsia="Times New Roman" w:hAnsi="Arial" w:cs="Arial"/>
                <w:sz w:val="28"/>
                <w:szCs w:val="28"/>
              </w:rPr>
            </w:pPr>
            <w:r w:rsidRPr="0099389B">
              <w:rPr>
                <w:rFonts w:ascii="Arial" w:eastAsia="Times New Roman" w:hAnsi="Arial" w:cs="Arial"/>
                <w:sz w:val="28"/>
                <w:szCs w:val="28"/>
              </w:rPr>
              <w:t>To provide guidance on the use of word processors during examinations for candidates who use a word processor as part of their normal way of working in the College</w:t>
            </w:r>
            <w:r w:rsidR="00750941">
              <w:rPr>
                <w:rFonts w:ascii="Arial" w:eastAsia="Times New Roman" w:hAnsi="Arial" w:cs="Arial"/>
                <w:sz w:val="28"/>
                <w:szCs w:val="28"/>
              </w:rPr>
              <w:t>.</w:t>
            </w:r>
          </w:p>
        </w:tc>
        <w:tc>
          <w:tcPr>
            <w:tcW w:w="1530" w:type="dxa"/>
          </w:tcPr>
          <w:p w14:paraId="3FF0F80C" w14:textId="5CF12C44" w:rsidR="008D683B" w:rsidRDefault="0099389B" w:rsidP="00BC24A5">
            <w:pPr>
              <w:rPr>
                <w:rFonts w:ascii="Arial" w:hAnsi="Arial" w:cs="Arial"/>
                <w:bCs/>
                <w:sz w:val="28"/>
                <w:szCs w:val="28"/>
              </w:rPr>
            </w:pPr>
            <w:r>
              <w:rPr>
                <w:rFonts w:ascii="Arial" w:hAnsi="Arial" w:cs="Arial"/>
                <w:bCs/>
                <w:sz w:val="28"/>
                <w:szCs w:val="28"/>
              </w:rPr>
              <w:t>Existing</w:t>
            </w:r>
          </w:p>
        </w:tc>
        <w:tc>
          <w:tcPr>
            <w:tcW w:w="1817" w:type="dxa"/>
          </w:tcPr>
          <w:p w14:paraId="1A68AA1F" w14:textId="31F55D93" w:rsidR="008D683B" w:rsidRDefault="0099389B" w:rsidP="00BC24A5">
            <w:pPr>
              <w:rPr>
                <w:rFonts w:ascii="Arial" w:hAnsi="Arial" w:cs="Arial"/>
                <w:bCs/>
                <w:sz w:val="28"/>
                <w:szCs w:val="28"/>
              </w:rPr>
            </w:pPr>
            <w:r>
              <w:rPr>
                <w:rFonts w:ascii="Arial" w:hAnsi="Arial" w:cs="Arial"/>
                <w:bCs/>
                <w:sz w:val="28"/>
                <w:szCs w:val="28"/>
              </w:rPr>
              <w:t>20 March 2023</w:t>
            </w:r>
          </w:p>
        </w:tc>
        <w:tc>
          <w:tcPr>
            <w:tcW w:w="3882" w:type="dxa"/>
          </w:tcPr>
          <w:p w14:paraId="3C531EDC" w14:textId="165C9137" w:rsidR="008D683B" w:rsidRPr="00263035" w:rsidRDefault="0099389B" w:rsidP="00BC24A5">
            <w:pPr>
              <w:rPr>
                <w:rFonts w:ascii="Arial" w:eastAsia="Times New Roman" w:hAnsi="Arial" w:cs="Arial"/>
                <w:sz w:val="28"/>
                <w:szCs w:val="28"/>
              </w:rPr>
            </w:pPr>
            <w:r>
              <w:rPr>
                <w:rFonts w:ascii="Arial" w:eastAsia="Times New Roman" w:hAnsi="Arial" w:cs="Arial"/>
                <w:sz w:val="28"/>
                <w:szCs w:val="28"/>
              </w:rPr>
              <w:t>No impact</w:t>
            </w:r>
          </w:p>
        </w:tc>
      </w:tr>
    </w:tbl>
    <w:p w14:paraId="4D776959" w14:textId="77777777" w:rsidR="00E4202C" w:rsidRDefault="00E4202C"/>
    <w:sectPr w:rsidR="00E4202C" w:rsidSect="00E4202C">
      <w:footerReference w:type="even" r:id="rId7"/>
      <w:footerReference w:type="default" r:id="rId8"/>
      <w:footerReference w:type="firs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6A5EA" w14:textId="77777777" w:rsidR="004D5D97" w:rsidRDefault="004D5D97" w:rsidP="00E4202C">
      <w:r>
        <w:separator/>
      </w:r>
    </w:p>
  </w:endnote>
  <w:endnote w:type="continuationSeparator" w:id="0">
    <w:p w14:paraId="6F44D2F6" w14:textId="77777777" w:rsidR="004D5D97" w:rsidRDefault="004D5D97" w:rsidP="00E42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3CCA2" w14:textId="2459E9EE" w:rsidR="00E4202C" w:rsidRDefault="00E4202C">
    <w:pPr>
      <w:pStyle w:val="Footer"/>
    </w:pPr>
    <w:r>
      <w:rPr>
        <w:noProof/>
      </w:rPr>
      <mc:AlternateContent>
        <mc:Choice Requires="wps">
          <w:drawing>
            <wp:anchor distT="0" distB="0" distL="0" distR="0" simplePos="0" relativeHeight="251659264" behindDoc="0" locked="0" layoutInCell="1" allowOverlap="1" wp14:anchorId="287002DD" wp14:editId="5AF16028">
              <wp:simplePos x="635" y="635"/>
              <wp:positionH relativeFrom="page">
                <wp:align>left</wp:align>
              </wp:positionH>
              <wp:positionV relativeFrom="page">
                <wp:align>bottom</wp:align>
              </wp:positionV>
              <wp:extent cx="443865" cy="443865"/>
              <wp:effectExtent l="0" t="0" r="9525" b="0"/>
              <wp:wrapNone/>
              <wp:docPr id="2" name="Text Box 2" descr="[OFFICIAL] - Please treat this information as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2C7A16" w14:textId="04546D45" w:rsidR="00E4202C" w:rsidRPr="00E4202C" w:rsidRDefault="00E4202C" w:rsidP="00E4202C">
                          <w:pPr>
                            <w:rPr>
                              <w:rFonts w:ascii="Calibri" w:eastAsia="Calibri" w:hAnsi="Calibri" w:cs="Calibri"/>
                              <w:noProof/>
                              <w:color w:val="000000"/>
                              <w:sz w:val="24"/>
                              <w:szCs w:val="24"/>
                            </w:rPr>
                          </w:pPr>
                          <w:r w:rsidRPr="00E4202C">
                            <w:rPr>
                              <w:rFonts w:ascii="Calibri" w:eastAsia="Calibri" w:hAnsi="Calibri" w:cs="Calibri"/>
                              <w:noProof/>
                              <w:color w:val="000000"/>
                              <w:sz w:val="24"/>
                              <w:szCs w:val="24"/>
                            </w:rPr>
                            <w:t>[OFFICIAL] - Please treat this information as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87002DD" id="_x0000_t202" coordsize="21600,21600" o:spt="202" path="m,l,21600r21600,l21600,xe">
              <v:stroke joinstyle="miter"/>
              <v:path gradientshapeok="t" o:connecttype="rect"/>
            </v:shapetype>
            <v:shape id="Text Box 2" o:spid="_x0000_s1026" type="#_x0000_t202" alt="[OFFICIAL] - Please treat this information as 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4B2C7A16" w14:textId="04546D45" w:rsidR="00E4202C" w:rsidRPr="00E4202C" w:rsidRDefault="00E4202C" w:rsidP="00E4202C">
                    <w:pPr>
                      <w:rPr>
                        <w:rFonts w:ascii="Calibri" w:eastAsia="Calibri" w:hAnsi="Calibri" w:cs="Calibri"/>
                        <w:noProof/>
                        <w:color w:val="000000"/>
                        <w:sz w:val="24"/>
                        <w:szCs w:val="24"/>
                      </w:rPr>
                    </w:pPr>
                    <w:r w:rsidRPr="00E4202C">
                      <w:rPr>
                        <w:rFonts w:ascii="Calibri" w:eastAsia="Calibri" w:hAnsi="Calibri" w:cs="Calibri"/>
                        <w:noProof/>
                        <w:color w:val="000000"/>
                        <w:sz w:val="24"/>
                        <w:szCs w:val="24"/>
                      </w:rPr>
                      <w:t>[OFFICIAL] - Please treat this information as 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75BE5" w14:textId="7BC91F41" w:rsidR="00E4202C" w:rsidRDefault="00E4202C">
    <w:pPr>
      <w:pStyle w:val="Footer"/>
    </w:pPr>
    <w:r>
      <w:rPr>
        <w:noProof/>
      </w:rPr>
      <mc:AlternateContent>
        <mc:Choice Requires="wps">
          <w:drawing>
            <wp:anchor distT="0" distB="0" distL="0" distR="0" simplePos="0" relativeHeight="251660288" behindDoc="0" locked="0" layoutInCell="1" allowOverlap="1" wp14:anchorId="6DC0F3A0" wp14:editId="409964B3">
              <wp:simplePos x="457200" y="6943725"/>
              <wp:positionH relativeFrom="page">
                <wp:align>left</wp:align>
              </wp:positionH>
              <wp:positionV relativeFrom="page">
                <wp:align>bottom</wp:align>
              </wp:positionV>
              <wp:extent cx="443865" cy="443865"/>
              <wp:effectExtent l="0" t="0" r="9525" b="0"/>
              <wp:wrapNone/>
              <wp:docPr id="3" name="Text Box 3" descr="[OFFICIAL] - Please treat this information as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AAADC1" w14:textId="5FD8B97A" w:rsidR="00E4202C" w:rsidRPr="00E4202C" w:rsidRDefault="00E4202C" w:rsidP="00E4202C">
                          <w:pPr>
                            <w:rPr>
                              <w:rFonts w:ascii="Calibri" w:eastAsia="Calibri" w:hAnsi="Calibri" w:cs="Calibri"/>
                              <w:noProof/>
                              <w:color w:val="000000"/>
                              <w:sz w:val="24"/>
                              <w:szCs w:val="24"/>
                            </w:rPr>
                          </w:pPr>
                          <w:r w:rsidRPr="00E4202C">
                            <w:rPr>
                              <w:rFonts w:ascii="Calibri" w:eastAsia="Calibri" w:hAnsi="Calibri" w:cs="Calibri"/>
                              <w:noProof/>
                              <w:color w:val="000000"/>
                              <w:sz w:val="24"/>
                              <w:szCs w:val="24"/>
                            </w:rPr>
                            <w:t>[OFFICIAL] - Please treat this information as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DC0F3A0" id="_x0000_t202" coordsize="21600,21600" o:spt="202" path="m,l,21600r21600,l21600,xe">
              <v:stroke joinstyle="miter"/>
              <v:path gradientshapeok="t" o:connecttype="rect"/>
            </v:shapetype>
            <v:shape id="Text Box 3" o:spid="_x0000_s1027" type="#_x0000_t202" alt="[OFFICIAL] - Please treat this information as 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65AAADC1" w14:textId="5FD8B97A" w:rsidR="00E4202C" w:rsidRPr="00E4202C" w:rsidRDefault="00E4202C" w:rsidP="00E4202C">
                    <w:pPr>
                      <w:rPr>
                        <w:rFonts w:ascii="Calibri" w:eastAsia="Calibri" w:hAnsi="Calibri" w:cs="Calibri"/>
                        <w:noProof/>
                        <w:color w:val="000000"/>
                        <w:sz w:val="24"/>
                        <w:szCs w:val="24"/>
                      </w:rPr>
                    </w:pPr>
                    <w:r w:rsidRPr="00E4202C">
                      <w:rPr>
                        <w:rFonts w:ascii="Calibri" w:eastAsia="Calibri" w:hAnsi="Calibri" w:cs="Calibri"/>
                        <w:noProof/>
                        <w:color w:val="000000"/>
                        <w:sz w:val="24"/>
                        <w:szCs w:val="24"/>
                      </w:rPr>
                      <w:t>[OFFICIAL] - Please treat this information as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566D7" w14:textId="79C36EEF" w:rsidR="00E4202C" w:rsidRDefault="00E4202C">
    <w:pPr>
      <w:pStyle w:val="Footer"/>
    </w:pPr>
    <w:r>
      <w:rPr>
        <w:noProof/>
      </w:rPr>
      <mc:AlternateContent>
        <mc:Choice Requires="wps">
          <w:drawing>
            <wp:anchor distT="0" distB="0" distL="0" distR="0" simplePos="0" relativeHeight="251658240" behindDoc="0" locked="0" layoutInCell="1" allowOverlap="1" wp14:anchorId="5983C72D" wp14:editId="49061045">
              <wp:simplePos x="635" y="635"/>
              <wp:positionH relativeFrom="page">
                <wp:align>left</wp:align>
              </wp:positionH>
              <wp:positionV relativeFrom="page">
                <wp:align>bottom</wp:align>
              </wp:positionV>
              <wp:extent cx="443865" cy="443865"/>
              <wp:effectExtent l="0" t="0" r="9525" b="0"/>
              <wp:wrapNone/>
              <wp:docPr id="1" name="Text Box 1" descr="[OFFICIAL] - Please treat this information as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E1A108" w14:textId="56EB9B5A" w:rsidR="00E4202C" w:rsidRPr="00E4202C" w:rsidRDefault="00E4202C" w:rsidP="00E4202C">
                          <w:pPr>
                            <w:rPr>
                              <w:rFonts w:ascii="Calibri" w:eastAsia="Calibri" w:hAnsi="Calibri" w:cs="Calibri"/>
                              <w:noProof/>
                              <w:color w:val="000000"/>
                              <w:sz w:val="24"/>
                              <w:szCs w:val="24"/>
                            </w:rPr>
                          </w:pPr>
                          <w:r w:rsidRPr="00E4202C">
                            <w:rPr>
                              <w:rFonts w:ascii="Calibri" w:eastAsia="Calibri" w:hAnsi="Calibri" w:cs="Calibri"/>
                              <w:noProof/>
                              <w:color w:val="000000"/>
                              <w:sz w:val="24"/>
                              <w:szCs w:val="24"/>
                            </w:rPr>
                            <w:t>[OFFICIAL] - Please treat this information as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983C72D" id="_x0000_t202" coordsize="21600,21600" o:spt="202" path="m,l,21600r21600,l21600,xe">
              <v:stroke joinstyle="miter"/>
              <v:path gradientshapeok="t" o:connecttype="rect"/>
            </v:shapetype>
            <v:shape id="Text Box 1" o:spid="_x0000_s1028" type="#_x0000_t202" alt="[OFFICIAL] - Please treat this information as 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5CE1A108" w14:textId="56EB9B5A" w:rsidR="00E4202C" w:rsidRPr="00E4202C" w:rsidRDefault="00E4202C" w:rsidP="00E4202C">
                    <w:pPr>
                      <w:rPr>
                        <w:rFonts w:ascii="Calibri" w:eastAsia="Calibri" w:hAnsi="Calibri" w:cs="Calibri"/>
                        <w:noProof/>
                        <w:color w:val="000000"/>
                        <w:sz w:val="24"/>
                        <w:szCs w:val="24"/>
                      </w:rPr>
                    </w:pPr>
                    <w:r w:rsidRPr="00E4202C">
                      <w:rPr>
                        <w:rFonts w:ascii="Calibri" w:eastAsia="Calibri" w:hAnsi="Calibri" w:cs="Calibri"/>
                        <w:noProof/>
                        <w:color w:val="000000"/>
                        <w:sz w:val="24"/>
                        <w:szCs w:val="24"/>
                      </w:rPr>
                      <w:t>[OFFICIAL] - Please treat this information as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34C28" w14:textId="77777777" w:rsidR="004D5D97" w:rsidRDefault="004D5D97" w:rsidP="00E4202C">
      <w:r>
        <w:separator/>
      </w:r>
    </w:p>
  </w:footnote>
  <w:footnote w:type="continuationSeparator" w:id="0">
    <w:p w14:paraId="3B95E777" w14:textId="77777777" w:rsidR="004D5D97" w:rsidRDefault="004D5D97" w:rsidP="00E420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CB45A7"/>
    <w:multiLevelType w:val="hybridMultilevel"/>
    <w:tmpl w:val="AE023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6575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02C"/>
    <w:rsid w:val="0006292C"/>
    <w:rsid w:val="00111E12"/>
    <w:rsid w:val="00263035"/>
    <w:rsid w:val="0039424B"/>
    <w:rsid w:val="004D5D97"/>
    <w:rsid w:val="00505643"/>
    <w:rsid w:val="005061D6"/>
    <w:rsid w:val="00523A4D"/>
    <w:rsid w:val="005E58C7"/>
    <w:rsid w:val="006420F1"/>
    <w:rsid w:val="006C18D1"/>
    <w:rsid w:val="00750941"/>
    <w:rsid w:val="007C320D"/>
    <w:rsid w:val="00890C4E"/>
    <w:rsid w:val="008A69C8"/>
    <w:rsid w:val="008C3096"/>
    <w:rsid w:val="008D683B"/>
    <w:rsid w:val="0099389B"/>
    <w:rsid w:val="009E6C7F"/>
    <w:rsid w:val="00A53210"/>
    <w:rsid w:val="00BE6841"/>
    <w:rsid w:val="00D4353E"/>
    <w:rsid w:val="00D7457D"/>
    <w:rsid w:val="00E420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F69F0"/>
  <w15:chartTrackingRefBased/>
  <w15:docId w15:val="{27FD825F-9732-4D67-8E9D-FDE1636A6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02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40"/>
    <w:rsid w:val="00E420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er">
    <w:name w:val="footer"/>
    <w:basedOn w:val="Normal"/>
    <w:link w:val="FooterChar"/>
    <w:uiPriority w:val="99"/>
    <w:unhideWhenUsed/>
    <w:rsid w:val="00E4202C"/>
    <w:pPr>
      <w:tabs>
        <w:tab w:val="center" w:pos="4513"/>
        <w:tab w:val="right" w:pos="9026"/>
      </w:tabs>
    </w:pPr>
  </w:style>
  <w:style w:type="character" w:customStyle="1" w:styleId="FooterChar">
    <w:name w:val="Footer Char"/>
    <w:basedOn w:val="DefaultParagraphFont"/>
    <w:link w:val="Footer"/>
    <w:uiPriority w:val="99"/>
    <w:rsid w:val="00E42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79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7</Pages>
  <Words>1461</Words>
  <Characters>8329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Fiona</dc:creator>
  <cp:keywords/>
  <dc:description/>
  <cp:lastModifiedBy>Hamilton, Fiona</cp:lastModifiedBy>
  <cp:revision>14</cp:revision>
  <dcterms:created xsi:type="dcterms:W3CDTF">2023-01-30T08:36:00Z</dcterms:created>
  <dcterms:modified xsi:type="dcterms:W3CDTF">2023-04-18T13:10:00Z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#000000,12,Calibri</vt:lpwstr>
  </property>
  <property fmtid="{D5CDD505-2E9C-101B-9397-08002B2CF9AE}" pid="4" name="ClassificationContentMarkingFooterText">
    <vt:lpwstr>[OFFICIAL] - Please treat this information as Official</vt:lpwstr>
  </property>
  <property fmtid="{D5CDD505-2E9C-101B-9397-08002B2CF9AE}" pid="5" name="MSIP_Label_b40b5f3c-9b1b-4f7d-9339-6974d1767da9_Enabled">
    <vt:lpwstr>true</vt:lpwstr>
  </property>
  <property fmtid="{D5CDD505-2E9C-101B-9397-08002B2CF9AE}" pid="6" name="MSIP_Label_b40b5f3c-9b1b-4f7d-9339-6974d1767da9_SetDate">
    <vt:lpwstr>2023-01-30T08:41:36Z</vt:lpwstr>
  </property>
  <property fmtid="{D5CDD505-2E9C-101B-9397-08002B2CF9AE}" pid="7" name="MSIP_Label_b40b5f3c-9b1b-4f7d-9339-6974d1767da9_Method">
    <vt:lpwstr>Standard</vt:lpwstr>
  </property>
  <property fmtid="{D5CDD505-2E9C-101B-9397-08002B2CF9AE}" pid="8" name="MSIP_Label_b40b5f3c-9b1b-4f7d-9339-6974d1767da9_Name">
    <vt:lpwstr>Official</vt:lpwstr>
  </property>
  <property fmtid="{D5CDD505-2E9C-101B-9397-08002B2CF9AE}" pid="9" name="MSIP_Label_b40b5f3c-9b1b-4f7d-9339-6974d1767da9_SiteId">
    <vt:lpwstr>2c282a6f-a0fc-4596-9ccc-2378f1b4cf1e</vt:lpwstr>
  </property>
  <property fmtid="{D5CDD505-2E9C-101B-9397-08002B2CF9AE}" pid="10" name="MSIP_Label_b40b5f3c-9b1b-4f7d-9339-6974d1767da9_ActionId">
    <vt:lpwstr>a42e089a-89f5-41cb-99b1-480742bd5da1</vt:lpwstr>
  </property>
  <property fmtid="{D5CDD505-2E9C-101B-9397-08002B2CF9AE}" pid="11" name="MSIP_Label_b40b5f3c-9b1b-4f7d-9339-6974d1767da9_ContentBits">
    <vt:lpwstr>2</vt:lpwstr>
  </property>
</Properties>
</file>