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50DB7"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NORTH WEST REGIONAL COLLEGE</w:t>
      </w:r>
    </w:p>
    <w:p w14:paraId="174C0564" w14:textId="77777777"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 xml:space="preserve">EQUALITY SCREENING REPORT </w:t>
      </w:r>
    </w:p>
    <w:p w14:paraId="5A7793FC" w14:textId="682FDD5A" w:rsidR="00621732" w:rsidRPr="00621732" w:rsidRDefault="00621732" w:rsidP="00621732">
      <w:pPr>
        <w:spacing w:after="0" w:line="240" w:lineRule="auto"/>
        <w:rPr>
          <w:rFonts w:ascii="Arial" w:eastAsia="Calibri" w:hAnsi="Arial" w:cs="Arial"/>
          <w:b/>
          <w:kern w:val="0"/>
          <w:sz w:val="28"/>
          <w:szCs w:val="28"/>
          <w14:ligatures w14:val="none"/>
        </w:rPr>
      </w:pPr>
      <w:r w:rsidRPr="00621732">
        <w:rPr>
          <w:rFonts w:ascii="Arial" w:eastAsia="Calibri" w:hAnsi="Arial" w:cs="Arial"/>
          <w:b/>
          <w:kern w:val="0"/>
          <w:sz w:val="28"/>
          <w:szCs w:val="28"/>
          <w14:ligatures w14:val="none"/>
        </w:rPr>
        <w:t xml:space="preserve">POLICIES SCREENED IN QUARTER </w:t>
      </w:r>
      <w:r w:rsidR="009036F7">
        <w:rPr>
          <w:rFonts w:ascii="Arial" w:eastAsia="Calibri" w:hAnsi="Arial" w:cs="Arial"/>
          <w:b/>
          <w:kern w:val="0"/>
          <w:sz w:val="28"/>
          <w:szCs w:val="28"/>
          <w14:ligatures w14:val="none"/>
        </w:rPr>
        <w:t>3</w:t>
      </w:r>
      <w:r w:rsidRPr="00621732">
        <w:rPr>
          <w:rFonts w:ascii="Arial" w:eastAsia="Calibri" w:hAnsi="Arial" w:cs="Arial"/>
          <w:b/>
          <w:kern w:val="0"/>
          <w:sz w:val="28"/>
          <w:szCs w:val="28"/>
          <w14:ligatures w14:val="none"/>
        </w:rPr>
        <w:t xml:space="preserve"> (</w:t>
      </w:r>
      <w:r w:rsidR="009036F7">
        <w:rPr>
          <w:rFonts w:ascii="Arial" w:eastAsia="Calibri" w:hAnsi="Arial" w:cs="Arial"/>
          <w:b/>
          <w:kern w:val="0"/>
          <w:sz w:val="28"/>
          <w:szCs w:val="28"/>
          <w14:ligatures w14:val="none"/>
        </w:rPr>
        <w:t>October</w:t>
      </w:r>
      <w:r w:rsidR="00E57AA0">
        <w:rPr>
          <w:rFonts w:ascii="Arial" w:eastAsia="Calibri" w:hAnsi="Arial" w:cs="Arial"/>
          <w:b/>
          <w:kern w:val="0"/>
          <w:sz w:val="28"/>
          <w:szCs w:val="28"/>
          <w14:ligatures w14:val="none"/>
        </w:rPr>
        <w:t xml:space="preserve"> </w:t>
      </w:r>
      <w:r w:rsidR="007B23E2">
        <w:rPr>
          <w:rFonts w:ascii="Arial" w:eastAsia="Calibri" w:hAnsi="Arial" w:cs="Arial"/>
          <w:b/>
          <w:kern w:val="0"/>
          <w:sz w:val="28"/>
          <w:szCs w:val="28"/>
          <w14:ligatures w14:val="none"/>
        </w:rPr>
        <w:t>2025</w:t>
      </w:r>
      <w:r w:rsidR="00E57AA0">
        <w:rPr>
          <w:rFonts w:ascii="Arial" w:eastAsia="Calibri" w:hAnsi="Arial" w:cs="Arial"/>
          <w:b/>
          <w:kern w:val="0"/>
          <w:sz w:val="28"/>
          <w:szCs w:val="28"/>
          <w14:ligatures w14:val="none"/>
        </w:rPr>
        <w:t xml:space="preserve"> to </w:t>
      </w:r>
      <w:r w:rsidR="009036F7">
        <w:rPr>
          <w:rFonts w:ascii="Arial" w:eastAsia="Calibri" w:hAnsi="Arial" w:cs="Arial"/>
          <w:b/>
          <w:kern w:val="0"/>
          <w:sz w:val="28"/>
          <w:szCs w:val="28"/>
          <w14:ligatures w14:val="none"/>
        </w:rPr>
        <w:t>December</w:t>
      </w:r>
      <w:r w:rsidR="00E57AA0">
        <w:rPr>
          <w:rFonts w:ascii="Arial" w:eastAsia="Calibri" w:hAnsi="Arial" w:cs="Arial"/>
          <w:b/>
          <w:kern w:val="0"/>
          <w:sz w:val="28"/>
          <w:szCs w:val="28"/>
          <w14:ligatures w14:val="none"/>
        </w:rPr>
        <w:t xml:space="preserve"> </w:t>
      </w:r>
      <w:r w:rsidR="007B23E2">
        <w:rPr>
          <w:rFonts w:ascii="Arial" w:eastAsia="Calibri" w:hAnsi="Arial" w:cs="Arial"/>
          <w:b/>
          <w:kern w:val="0"/>
          <w:sz w:val="28"/>
          <w:szCs w:val="28"/>
          <w14:ligatures w14:val="none"/>
        </w:rPr>
        <w:t>2025</w:t>
      </w:r>
      <w:r w:rsidRPr="00621732">
        <w:rPr>
          <w:rFonts w:ascii="Arial" w:eastAsia="Calibri" w:hAnsi="Arial" w:cs="Arial"/>
          <w:b/>
          <w:kern w:val="0"/>
          <w:sz w:val="28"/>
          <w:szCs w:val="28"/>
          <w14:ligatures w14:val="none"/>
        </w:rPr>
        <w:t xml:space="preserve">) </w:t>
      </w:r>
    </w:p>
    <w:p w14:paraId="38750F67" w14:textId="77777777" w:rsidR="00621732" w:rsidRPr="00621732" w:rsidRDefault="00621732" w:rsidP="00621732">
      <w:pPr>
        <w:spacing w:after="0" w:line="240" w:lineRule="auto"/>
        <w:rPr>
          <w:rFonts w:ascii="Arial" w:eastAsia="Calibri" w:hAnsi="Arial" w:cs="Arial"/>
          <w:b/>
          <w:kern w:val="0"/>
          <w:sz w:val="28"/>
          <w:szCs w:val="28"/>
          <w14:ligatures w14:val="none"/>
        </w:rPr>
      </w:pPr>
    </w:p>
    <w:tbl>
      <w:tblPr>
        <w:tblStyle w:val="TableGridLight1"/>
        <w:tblW w:w="15501" w:type="dxa"/>
        <w:tblLook w:val="04A0" w:firstRow="1" w:lastRow="0" w:firstColumn="1" w:lastColumn="0" w:noHBand="0" w:noVBand="1"/>
      </w:tblPr>
      <w:tblGrid>
        <w:gridCol w:w="2689"/>
        <w:gridCol w:w="5583"/>
        <w:gridCol w:w="1530"/>
        <w:gridCol w:w="1959"/>
        <w:gridCol w:w="3740"/>
      </w:tblGrid>
      <w:tr w:rsidR="00621732" w:rsidRPr="00621732" w14:paraId="1B2A53A0" w14:textId="77777777" w:rsidTr="004A7C4D">
        <w:trPr>
          <w:tblHeader/>
        </w:trPr>
        <w:tc>
          <w:tcPr>
            <w:tcW w:w="2689" w:type="dxa"/>
            <w:shd w:val="clear" w:color="auto" w:fill="C2D69B"/>
          </w:tcPr>
          <w:p w14:paraId="7DDCA89F" w14:textId="77777777" w:rsidR="00621732" w:rsidRPr="00D87922" w:rsidRDefault="00621732" w:rsidP="00621732">
            <w:pPr>
              <w:rPr>
                <w:rFonts w:ascii="Arial" w:eastAsia="Calibri" w:hAnsi="Arial" w:cs="Arial"/>
                <w:b/>
                <w:sz w:val="28"/>
                <w:szCs w:val="28"/>
              </w:rPr>
            </w:pPr>
            <w:r w:rsidRPr="00D87922">
              <w:rPr>
                <w:rFonts w:ascii="Arial" w:eastAsia="Calibri" w:hAnsi="Arial" w:cs="Arial"/>
                <w:b/>
                <w:sz w:val="28"/>
                <w:szCs w:val="28"/>
              </w:rPr>
              <w:t>Policy title</w:t>
            </w:r>
          </w:p>
        </w:tc>
        <w:tc>
          <w:tcPr>
            <w:tcW w:w="5583" w:type="dxa"/>
            <w:shd w:val="clear" w:color="auto" w:fill="C2D69B"/>
          </w:tcPr>
          <w:p w14:paraId="153DE389"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Aim of Policy</w:t>
            </w:r>
          </w:p>
        </w:tc>
        <w:tc>
          <w:tcPr>
            <w:tcW w:w="1530" w:type="dxa"/>
            <w:shd w:val="clear" w:color="auto" w:fill="C2D69B"/>
          </w:tcPr>
          <w:p w14:paraId="024EB75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New / existing / revised policy</w:t>
            </w:r>
          </w:p>
        </w:tc>
        <w:tc>
          <w:tcPr>
            <w:tcW w:w="1959" w:type="dxa"/>
            <w:shd w:val="clear" w:color="auto" w:fill="C2D69B"/>
          </w:tcPr>
          <w:p w14:paraId="20DC63C4"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Date of Screening</w:t>
            </w:r>
          </w:p>
        </w:tc>
        <w:tc>
          <w:tcPr>
            <w:tcW w:w="3740" w:type="dxa"/>
            <w:shd w:val="clear" w:color="auto" w:fill="C2D69B"/>
          </w:tcPr>
          <w:p w14:paraId="41EC23E8" w14:textId="77777777" w:rsidR="00621732" w:rsidRPr="00621732" w:rsidRDefault="00621732" w:rsidP="00621732">
            <w:pPr>
              <w:rPr>
                <w:rFonts w:ascii="Arial" w:eastAsia="Calibri" w:hAnsi="Arial" w:cs="Arial"/>
                <w:b/>
                <w:sz w:val="28"/>
                <w:szCs w:val="28"/>
              </w:rPr>
            </w:pPr>
            <w:r w:rsidRPr="00621732">
              <w:rPr>
                <w:rFonts w:ascii="Arial" w:eastAsia="Calibri" w:hAnsi="Arial" w:cs="Arial"/>
                <w:b/>
                <w:sz w:val="28"/>
                <w:szCs w:val="28"/>
              </w:rPr>
              <w:t>Screening decision</w:t>
            </w:r>
          </w:p>
        </w:tc>
      </w:tr>
      <w:tr w:rsidR="00F33388" w:rsidRPr="00621732" w14:paraId="7830E5F3" w14:textId="77777777" w:rsidTr="0004497C">
        <w:tc>
          <w:tcPr>
            <w:tcW w:w="2689" w:type="dxa"/>
          </w:tcPr>
          <w:p w14:paraId="4951C239" w14:textId="77777777" w:rsidR="00F33388" w:rsidRDefault="00F33388" w:rsidP="0004497C">
            <w:pPr>
              <w:rPr>
                <w:rFonts w:ascii="Arial" w:eastAsia="Calibri" w:hAnsi="Arial" w:cs="Arial"/>
                <w:sz w:val="28"/>
                <w:szCs w:val="28"/>
              </w:rPr>
            </w:pPr>
            <w:r>
              <w:rPr>
                <w:rFonts w:ascii="Arial" w:eastAsia="Calibri" w:hAnsi="Arial" w:cs="Arial"/>
                <w:sz w:val="28"/>
                <w:szCs w:val="28"/>
              </w:rPr>
              <w:t>Flexible Working Policy</w:t>
            </w:r>
          </w:p>
        </w:tc>
        <w:tc>
          <w:tcPr>
            <w:tcW w:w="5583" w:type="dxa"/>
          </w:tcPr>
          <w:p w14:paraId="6094D002" w14:textId="77777777" w:rsidR="00F33388" w:rsidRPr="004A710B" w:rsidRDefault="00F33388" w:rsidP="0004497C">
            <w:pPr>
              <w:rPr>
                <w:rFonts w:ascii="Arial" w:eastAsia="Times New Roman" w:hAnsi="Arial" w:cs="Arial"/>
                <w:sz w:val="28"/>
                <w:szCs w:val="28"/>
              </w:rPr>
            </w:pPr>
            <w:r w:rsidRPr="004A710B">
              <w:rPr>
                <w:rFonts w:ascii="Arial" w:eastAsia="Times New Roman" w:hAnsi="Arial" w:cs="Arial"/>
                <w:sz w:val="28"/>
                <w:szCs w:val="28"/>
              </w:rPr>
              <w:t>The aim of this policy is to promote and support good practice in relation to the</w:t>
            </w:r>
          </w:p>
          <w:p w14:paraId="47FCCB9F" w14:textId="77777777" w:rsidR="00F33388" w:rsidRPr="004A710B" w:rsidRDefault="00F33388" w:rsidP="0004497C">
            <w:pPr>
              <w:rPr>
                <w:rFonts w:ascii="Arial" w:eastAsia="Times New Roman" w:hAnsi="Arial" w:cs="Arial"/>
                <w:sz w:val="28"/>
                <w:szCs w:val="28"/>
              </w:rPr>
            </w:pPr>
            <w:r w:rsidRPr="004A710B">
              <w:rPr>
                <w:rFonts w:ascii="Arial" w:eastAsia="Times New Roman" w:hAnsi="Arial" w:cs="Arial"/>
                <w:sz w:val="28"/>
                <w:szCs w:val="28"/>
              </w:rPr>
              <w:t>application, approval and administration of Flexible Working requests and to support staff</w:t>
            </w:r>
            <w:r>
              <w:rPr>
                <w:rFonts w:ascii="Arial" w:eastAsia="Times New Roman" w:hAnsi="Arial" w:cs="Arial"/>
                <w:sz w:val="28"/>
                <w:szCs w:val="28"/>
              </w:rPr>
              <w:t xml:space="preserve"> </w:t>
            </w:r>
            <w:r w:rsidRPr="004A710B">
              <w:rPr>
                <w:rFonts w:ascii="Arial" w:eastAsia="Times New Roman" w:hAnsi="Arial" w:cs="Arial"/>
                <w:sz w:val="28"/>
                <w:szCs w:val="28"/>
              </w:rPr>
              <w:t xml:space="preserve">who need an adjustment to their working hours/arrangements to better enable </w:t>
            </w:r>
            <w:r w:rsidRPr="004A710B">
              <w:rPr>
                <w:rFonts w:ascii="Arial" w:eastAsia="Times New Roman" w:hAnsi="Arial" w:cs="Arial"/>
                <w:sz w:val="28"/>
                <w:szCs w:val="28"/>
                <w:lang w:val="en"/>
              </w:rPr>
              <w:t>them to</w:t>
            </w:r>
            <w:r>
              <w:rPr>
                <w:rFonts w:ascii="Arial" w:eastAsia="Times New Roman" w:hAnsi="Arial" w:cs="Arial"/>
                <w:sz w:val="28"/>
                <w:szCs w:val="28"/>
                <w:lang w:val="en"/>
              </w:rPr>
              <w:t xml:space="preserve"> </w:t>
            </w:r>
            <w:r w:rsidRPr="004A710B">
              <w:rPr>
                <w:rFonts w:ascii="Arial" w:eastAsia="Times New Roman" w:hAnsi="Arial" w:cs="Arial"/>
                <w:sz w:val="28"/>
                <w:szCs w:val="28"/>
                <w:lang w:val="en"/>
              </w:rPr>
              <w:t>combine their work commitments with their personal / home life.</w:t>
            </w:r>
          </w:p>
          <w:p w14:paraId="481C6602" w14:textId="77777777" w:rsidR="00F33388" w:rsidRPr="001A352C" w:rsidRDefault="00F33388" w:rsidP="0004497C">
            <w:pPr>
              <w:rPr>
                <w:rFonts w:ascii="Arial" w:eastAsia="Times New Roman" w:hAnsi="Arial" w:cs="Arial"/>
                <w:sz w:val="28"/>
                <w:szCs w:val="28"/>
              </w:rPr>
            </w:pPr>
          </w:p>
        </w:tc>
        <w:tc>
          <w:tcPr>
            <w:tcW w:w="1530" w:type="dxa"/>
          </w:tcPr>
          <w:p w14:paraId="04822D00" w14:textId="77777777" w:rsidR="00F33388" w:rsidRDefault="00F33388" w:rsidP="0004497C">
            <w:pPr>
              <w:rPr>
                <w:rFonts w:ascii="Arial" w:eastAsia="Calibri" w:hAnsi="Arial" w:cs="Arial"/>
                <w:bCs/>
                <w:sz w:val="28"/>
                <w:szCs w:val="28"/>
              </w:rPr>
            </w:pPr>
            <w:r>
              <w:rPr>
                <w:rFonts w:ascii="Arial" w:eastAsia="Calibri" w:hAnsi="Arial" w:cs="Arial"/>
                <w:bCs/>
                <w:sz w:val="28"/>
                <w:szCs w:val="28"/>
              </w:rPr>
              <w:t>Revised</w:t>
            </w:r>
          </w:p>
        </w:tc>
        <w:tc>
          <w:tcPr>
            <w:tcW w:w="1959" w:type="dxa"/>
          </w:tcPr>
          <w:p w14:paraId="11051D6A" w14:textId="77777777" w:rsidR="00F33388" w:rsidRDefault="00F33388" w:rsidP="0004497C">
            <w:pPr>
              <w:rPr>
                <w:rFonts w:ascii="Arial" w:eastAsia="Calibri" w:hAnsi="Arial" w:cs="Arial"/>
                <w:bCs/>
                <w:sz w:val="28"/>
                <w:szCs w:val="28"/>
              </w:rPr>
            </w:pPr>
            <w:r>
              <w:rPr>
                <w:rFonts w:ascii="Arial" w:eastAsia="Calibri" w:hAnsi="Arial" w:cs="Arial"/>
                <w:bCs/>
                <w:sz w:val="28"/>
                <w:szCs w:val="28"/>
              </w:rPr>
              <w:t>1 August 2025</w:t>
            </w:r>
          </w:p>
        </w:tc>
        <w:tc>
          <w:tcPr>
            <w:tcW w:w="3740" w:type="dxa"/>
          </w:tcPr>
          <w:p w14:paraId="0C4618C5" w14:textId="77777777" w:rsidR="00F33388" w:rsidRDefault="00F33388" w:rsidP="0004497C">
            <w:pPr>
              <w:rPr>
                <w:rFonts w:ascii="Arial" w:eastAsia="Times New Roman" w:hAnsi="Arial" w:cs="Arial"/>
                <w:sz w:val="28"/>
                <w:szCs w:val="28"/>
              </w:rPr>
            </w:pPr>
            <w:r w:rsidRPr="004A710B">
              <w:rPr>
                <w:rFonts w:ascii="Arial" w:eastAsia="Times New Roman" w:hAnsi="Arial" w:cs="Arial"/>
                <w:sz w:val="28"/>
                <w:szCs w:val="28"/>
              </w:rPr>
              <w:t>No impact on any of the Section 75 categories for relevant support staff</w:t>
            </w:r>
          </w:p>
        </w:tc>
      </w:tr>
      <w:tr w:rsidR="00F33388" w:rsidRPr="00621732" w14:paraId="4492E580" w14:textId="77777777" w:rsidTr="0004497C">
        <w:tc>
          <w:tcPr>
            <w:tcW w:w="2689" w:type="dxa"/>
          </w:tcPr>
          <w:p w14:paraId="06F297D0" w14:textId="77777777" w:rsidR="00F33388" w:rsidRDefault="00F33388" w:rsidP="0004497C">
            <w:pPr>
              <w:rPr>
                <w:rFonts w:ascii="Arial" w:eastAsia="Calibri" w:hAnsi="Arial" w:cs="Arial"/>
                <w:sz w:val="28"/>
                <w:szCs w:val="28"/>
              </w:rPr>
            </w:pPr>
            <w:r>
              <w:rPr>
                <w:rFonts w:ascii="Arial" w:eastAsia="Calibri" w:hAnsi="Arial" w:cs="Arial"/>
                <w:sz w:val="28"/>
                <w:szCs w:val="28"/>
              </w:rPr>
              <w:t>Special Leave Policy</w:t>
            </w:r>
          </w:p>
        </w:tc>
        <w:tc>
          <w:tcPr>
            <w:tcW w:w="5583" w:type="dxa"/>
          </w:tcPr>
          <w:p w14:paraId="23B6B5D8" w14:textId="77777777" w:rsidR="00F33388" w:rsidRPr="00140B57" w:rsidRDefault="00F33388" w:rsidP="0004497C">
            <w:pPr>
              <w:rPr>
                <w:rFonts w:ascii="Arial" w:eastAsia="Times New Roman" w:hAnsi="Arial" w:cs="Arial"/>
                <w:sz w:val="28"/>
                <w:szCs w:val="28"/>
              </w:rPr>
            </w:pPr>
            <w:r w:rsidRPr="00140B57">
              <w:rPr>
                <w:rFonts w:ascii="Arial" w:eastAsia="Times New Roman" w:hAnsi="Arial" w:cs="Arial"/>
                <w:sz w:val="28"/>
                <w:szCs w:val="28"/>
              </w:rPr>
              <w:t xml:space="preserve">The North West Regional College recognises that there are circumstances </w:t>
            </w:r>
            <w:proofErr w:type="gramStart"/>
            <w:r w:rsidRPr="00140B57">
              <w:rPr>
                <w:rFonts w:ascii="Arial" w:eastAsia="Times New Roman" w:hAnsi="Arial" w:cs="Arial"/>
                <w:sz w:val="28"/>
                <w:szCs w:val="28"/>
              </w:rPr>
              <w:t>during the course of</w:t>
            </w:r>
            <w:proofErr w:type="gramEnd"/>
            <w:r w:rsidRPr="00140B57">
              <w:rPr>
                <w:rFonts w:ascii="Arial" w:eastAsia="Times New Roman" w:hAnsi="Arial" w:cs="Arial"/>
                <w:sz w:val="28"/>
                <w:szCs w:val="28"/>
              </w:rPr>
              <w:t xml:space="preserve"> the working year which place staff in a situation where they may be required to seek approval to absent themselves from duty. Whilst the College recognises this requirement, it </w:t>
            </w:r>
            <w:proofErr w:type="gramStart"/>
            <w:r w:rsidRPr="00140B57">
              <w:rPr>
                <w:rFonts w:ascii="Arial" w:eastAsia="Times New Roman" w:hAnsi="Arial" w:cs="Arial"/>
                <w:sz w:val="28"/>
                <w:szCs w:val="28"/>
              </w:rPr>
              <w:t>is at all times</w:t>
            </w:r>
            <w:proofErr w:type="gramEnd"/>
            <w:r w:rsidRPr="00140B57">
              <w:rPr>
                <w:rFonts w:ascii="Arial" w:eastAsia="Times New Roman" w:hAnsi="Arial" w:cs="Arial"/>
                <w:sz w:val="28"/>
                <w:szCs w:val="28"/>
              </w:rPr>
              <w:t xml:space="preserve"> mindful of its duty of care to the student body in the delivery of quality education and training and the need to maintain service. </w:t>
            </w:r>
          </w:p>
          <w:p w14:paraId="336AEA8C" w14:textId="77777777" w:rsidR="00F33388" w:rsidRPr="004A710B" w:rsidRDefault="00F33388" w:rsidP="0004497C">
            <w:pPr>
              <w:rPr>
                <w:rFonts w:ascii="Arial" w:eastAsia="Times New Roman" w:hAnsi="Arial" w:cs="Arial"/>
                <w:sz w:val="28"/>
                <w:szCs w:val="28"/>
              </w:rPr>
            </w:pPr>
          </w:p>
        </w:tc>
        <w:tc>
          <w:tcPr>
            <w:tcW w:w="1530" w:type="dxa"/>
          </w:tcPr>
          <w:p w14:paraId="27B4D6DA" w14:textId="77777777" w:rsidR="00F33388" w:rsidRDefault="00F33388" w:rsidP="0004497C">
            <w:pPr>
              <w:rPr>
                <w:rFonts w:ascii="Arial" w:eastAsia="Calibri" w:hAnsi="Arial" w:cs="Arial"/>
                <w:bCs/>
                <w:sz w:val="28"/>
                <w:szCs w:val="28"/>
              </w:rPr>
            </w:pPr>
            <w:r>
              <w:rPr>
                <w:rFonts w:ascii="Arial" w:eastAsia="Calibri" w:hAnsi="Arial" w:cs="Arial"/>
                <w:bCs/>
                <w:sz w:val="28"/>
                <w:szCs w:val="28"/>
              </w:rPr>
              <w:t>Revised</w:t>
            </w:r>
          </w:p>
        </w:tc>
        <w:tc>
          <w:tcPr>
            <w:tcW w:w="1959" w:type="dxa"/>
          </w:tcPr>
          <w:p w14:paraId="5FA32270" w14:textId="77777777" w:rsidR="00F33388" w:rsidRDefault="00F33388" w:rsidP="0004497C">
            <w:pPr>
              <w:rPr>
                <w:rFonts w:ascii="Arial" w:eastAsia="Calibri" w:hAnsi="Arial" w:cs="Arial"/>
                <w:bCs/>
                <w:sz w:val="28"/>
                <w:szCs w:val="28"/>
              </w:rPr>
            </w:pPr>
            <w:r>
              <w:rPr>
                <w:rFonts w:ascii="Arial" w:eastAsia="Calibri" w:hAnsi="Arial" w:cs="Arial"/>
                <w:bCs/>
                <w:sz w:val="28"/>
                <w:szCs w:val="28"/>
              </w:rPr>
              <w:t>1 August 2025</w:t>
            </w:r>
          </w:p>
        </w:tc>
        <w:tc>
          <w:tcPr>
            <w:tcW w:w="3740" w:type="dxa"/>
          </w:tcPr>
          <w:p w14:paraId="106D1A34" w14:textId="77777777" w:rsidR="00F33388" w:rsidRPr="004A710B" w:rsidRDefault="00F33388" w:rsidP="0004497C">
            <w:pPr>
              <w:rPr>
                <w:rFonts w:ascii="Arial" w:eastAsia="Times New Roman" w:hAnsi="Arial" w:cs="Arial"/>
                <w:sz w:val="28"/>
                <w:szCs w:val="28"/>
              </w:rPr>
            </w:pPr>
            <w:r w:rsidRPr="00140B57">
              <w:rPr>
                <w:rFonts w:ascii="Arial" w:eastAsia="Times New Roman" w:hAnsi="Arial" w:cs="Arial"/>
                <w:sz w:val="28"/>
                <w:szCs w:val="28"/>
              </w:rPr>
              <w:t>No impact on any of the Section 75 categories for relevant support staff.</w:t>
            </w:r>
          </w:p>
        </w:tc>
      </w:tr>
      <w:tr w:rsidR="00154165" w:rsidRPr="00621732" w14:paraId="5F3BBF8B" w14:textId="77777777" w:rsidTr="00801046">
        <w:tc>
          <w:tcPr>
            <w:tcW w:w="2689" w:type="dxa"/>
          </w:tcPr>
          <w:p w14:paraId="0487B9D1" w14:textId="1AE8978B" w:rsidR="00154165" w:rsidRDefault="001A352C" w:rsidP="00801046">
            <w:pPr>
              <w:rPr>
                <w:rFonts w:ascii="Arial" w:eastAsia="Calibri" w:hAnsi="Arial" w:cs="Arial"/>
                <w:sz w:val="28"/>
                <w:szCs w:val="28"/>
              </w:rPr>
            </w:pPr>
            <w:r>
              <w:rPr>
                <w:rFonts w:ascii="Arial" w:eastAsia="Calibri" w:hAnsi="Arial" w:cs="Arial"/>
                <w:sz w:val="28"/>
                <w:szCs w:val="28"/>
              </w:rPr>
              <w:lastRenderedPageBreak/>
              <w:t>Data Breach Management Procedure</w:t>
            </w:r>
          </w:p>
        </w:tc>
        <w:tc>
          <w:tcPr>
            <w:tcW w:w="5583" w:type="dxa"/>
          </w:tcPr>
          <w:p w14:paraId="79A69625" w14:textId="77777777" w:rsidR="001A352C" w:rsidRPr="001A352C" w:rsidRDefault="001A352C" w:rsidP="001A352C">
            <w:pPr>
              <w:rPr>
                <w:rFonts w:ascii="Arial" w:eastAsia="Times New Roman" w:hAnsi="Arial" w:cs="Arial"/>
                <w:sz w:val="28"/>
                <w:szCs w:val="28"/>
              </w:rPr>
            </w:pPr>
            <w:r w:rsidRPr="001A352C">
              <w:rPr>
                <w:rFonts w:ascii="Arial" w:eastAsia="Times New Roman" w:hAnsi="Arial" w:cs="Arial"/>
                <w:sz w:val="28"/>
                <w:szCs w:val="28"/>
              </w:rPr>
              <w:t>This purpose of this procedure is to provide staff guidance should they identify or have suspicion that personal data has been compromised. This procedure outlines the steps the College will take in identifying a breach has occurred, containment and recovery, as well as assessing the risk/impact to individuals.</w:t>
            </w:r>
          </w:p>
          <w:p w14:paraId="65F043B1" w14:textId="692C9C6F" w:rsidR="00154165" w:rsidRPr="00122D0E" w:rsidRDefault="00154165" w:rsidP="00801046">
            <w:pPr>
              <w:rPr>
                <w:rFonts w:ascii="Arial" w:eastAsia="Times New Roman" w:hAnsi="Arial" w:cs="Arial"/>
                <w:sz w:val="28"/>
                <w:szCs w:val="28"/>
              </w:rPr>
            </w:pPr>
          </w:p>
        </w:tc>
        <w:tc>
          <w:tcPr>
            <w:tcW w:w="1530" w:type="dxa"/>
          </w:tcPr>
          <w:p w14:paraId="4D61C30E" w14:textId="530EF8D9" w:rsidR="00154165" w:rsidRDefault="00154165" w:rsidP="00801046">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3A84BD30" w14:textId="30D53B62" w:rsidR="00154165" w:rsidRDefault="001A352C" w:rsidP="00801046">
            <w:pPr>
              <w:rPr>
                <w:rFonts w:ascii="Arial" w:eastAsia="Calibri" w:hAnsi="Arial" w:cs="Arial"/>
                <w:bCs/>
                <w:sz w:val="28"/>
                <w:szCs w:val="28"/>
              </w:rPr>
            </w:pPr>
            <w:r>
              <w:rPr>
                <w:rFonts w:ascii="Arial" w:eastAsia="Calibri" w:hAnsi="Arial" w:cs="Arial"/>
                <w:bCs/>
                <w:sz w:val="28"/>
                <w:szCs w:val="28"/>
              </w:rPr>
              <w:t>1 October 2025</w:t>
            </w:r>
          </w:p>
        </w:tc>
        <w:tc>
          <w:tcPr>
            <w:tcW w:w="3740" w:type="dxa"/>
          </w:tcPr>
          <w:p w14:paraId="115AB0C2" w14:textId="55C66F83" w:rsidR="00154165" w:rsidRPr="00122D0E" w:rsidRDefault="001A352C" w:rsidP="00801046">
            <w:pPr>
              <w:rPr>
                <w:rFonts w:ascii="Arial" w:eastAsia="Times New Roman" w:hAnsi="Arial" w:cs="Arial"/>
                <w:sz w:val="28"/>
                <w:szCs w:val="28"/>
              </w:rPr>
            </w:pPr>
            <w:r>
              <w:rPr>
                <w:rFonts w:ascii="Arial" w:eastAsia="Times New Roman" w:hAnsi="Arial" w:cs="Arial"/>
                <w:sz w:val="28"/>
                <w:szCs w:val="28"/>
              </w:rPr>
              <w:t>T</w:t>
            </w:r>
            <w:r w:rsidRPr="001A352C">
              <w:rPr>
                <w:rFonts w:ascii="Arial" w:eastAsia="Times New Roman" w:hAnsi="Arial" w:cs="Arial"/>
                <w:sz w:val="28"/>
                <w:szCs w:val="28"/>
              </w:rPr>
              <w:t>his policy has no adverse impact on any of the Section 75 categories</w:t>
            </w:r>
          </w:p>
        </w:tc>
      </w:tr>
      <w:tr w:rsidR="00C9332A" w:rsidRPr="00621732" w14:paraId="0BF80013" w14:textId="77777777" w:rsidTr="00801046">
        <w:tc>
          <w:tcPr>
            <w:tcW w:w="2689" w:type="dxa"/>
          </w:tcPr>
          <w:p w14:paraId="26FF0976" w14:textId="420907DD" w:rsidR="00C9332A" w:rsidRDefault="00C9332A" w:rsidP="00801046">
            <w:pPr>
              <w:rPr>
                <w:rFonts w:ascii="Arial" w:eastAsia="Calibri" w:hAnsi="Arial" w:cs="Arial"/>
                <w:sz w:val="28"/>
                <w:szCs w:val="28"/>
              </w:rPr>
            </w:pPr>
            <w:r>
              <w:rPr>
                <w:rFonts w:ascii="Arial" w:eastAsia="Calibri" w:hAnsi="Arial" w:cs="Arial"/>
                <w:sz w:val="28"/>
                <w:szCs w:val="28"/>
              </w:rPr>
              <w:t>Mental Health and Wellbeing Policy</w:t>
            </w:r>
          </w:p>
        </w:tc>
        <w:tc>
          <w:tcPr>
            <w:tcW w:w="5583" w:type="dxa"/>
          </w:tcPr>
          <w:p w14:paraId="7C41E8F3" w14:textId="77777777" w:rsidR="00C9332A" w:rsidRPr="00C9332A" w:rsidRDefault="00C9332A" w:rsidP="00C9332A">
            <w:pPr>
              <w:rPr>
                <w:rFonts w:ascii="Arial" w:eastAsia="Times New Roman" w:hAnsi="Arial" w:cs="Arial"/>
                <w:sz w:val="28"/>
                <w:szCs w:val="28"/>
              </w:rPr>
            </w:pPr>
            <w:r w:rsidRPr="00C9332A">
              <w:rPr>
                <w:rFonts w:ascii="Arial" w:eastAsia="Times New Roman" w:hAnsi="Arial" w:cs="Arial"/>
                <w:sz w:val="28"/>
                <w:szCs w:val="28"/>
              </w:rPr>
              <w:t xml:space="preserve">The aim of this policy is to: </w:t>
            </w:r>
          </w:p>
          <w:p w14:paraId="0792A9CB" w14:textId="77777777" w:rsidR="00C9332A" w:rsidRPr="00C9332A" w:rsidRDefault="00C9332A" w:rsidP="00C9332A">
            <w:pPr>
              <w:rPr>
                <w:rFonts w:ascii="Arial" w:eastAsia="Times New Roman" w:hAnsi="Arial" w:cs="Arial"/>
                <w:sz w:val="28"/>
                <w:szCs w:val="28"/>
              </w:rPr>
            </w:pPr>
            <w:r w:rsidRPr="00C9332A">
              <w:rPr>
                <w:rFonts w:ascii="Arial" w:eastAsia="Times New Roman" w:hAnsi="Arial" w:cs="Arial"/>
                <w:sz w:val="28"/>
                <w:szCs w:val="28"/>
              </w:rPr>
              <w:t xml:space="preserve"> </w:t>
            </w:r>
          </w:p>
          <w:p w14:paraId="2088796F" w14:textId="77777777" w:rsidR="00C9332A" w:rsidRPr="00C9332A" w:rsidRDefault="00C9332A" w:rsidP="00C9332A">
            <w:pPr>
              <w:pStyle w:val="ListParagraph"/>
              <w:numPr>
                <w:ilvl w:val="0"/>
                <w:numId w:val="21"/>
              </w:numPr>
              <w:rPr>
                <w:rFonts w:ascii="Arial" w:eastAsia="Times New Roman" w:hAnsi="Arial" w:cs="Arial"/>
                <w:sz w:val="28"/>
                <w:szCs w:val="28"/>
              </w:rPr>
            </w:pPr>
            <w:r w:rsidRPr="00C9332A">
              <w:rPr>
                <w:rFonts w:ascii="Arial" w:eastAsia="Times New Roman" w:hAnsi="Arial" w:cs="Arial"/>
                <w:sz w:val="28"/>
                <w:szCs w:val="28"/>
              </w:rPr>
              <w:t xml:space="preserve">Support and promote positive mental health and wellbeing for all employees. </w:t>
            </w:r>
          </w:p>
          <w:p w14:paraId="2EA76301" w14:textId="77777777" w:rsidR="00C9332A" w:rsidRPr="00C9332A" w:rsidRDefault="00C9332A" w:rsidP="00C9332A">
            <w:pPr>
              <w:pStyle w:val="ListParagraph"/>
              <w:numPr>
                <w:ilvl w:val="0"/>
                <w:numId w:val="21"/>
              </w:numPr>
              <w:rPr>
                <w:rFonts w:ascii="Arial" w:eastAsia="Times New Roman" w:hAnsi="Arial" w:cs="Arial"/>
                <w:sz w:val="28"/>
                <w:szCs w:val="28"/>
              </w:rPr>
            </w:pPr>
            <w:r w:rsidRPr="00C9332A">
              <w:rPr>
                <w:rFonts w:ascii="Arial" w:eastAsia="Times New Roman" w:hAnsi="Arial" w:cs="Arial"/>
                <w:sz w:val="28"/>
                <w:szCs w:val="28"/>
              </w:rPr>
              <w:t xml:space="preserve">Strive to identify and reduce/prevent potential risk to mental health of College employees. </w:t>
            </w:r>
          </w:p>
          <w:p w14:paraId="668DE25F" w14:textId="77777777" w:rsidR="00C9332A" w:rsidRPr="00C9332A" w:rsidRDefault="00C9332A" w:rsidP="00C9332A">
            <w:pPr>
              <w:pStyle w:val="ListParagraph"/>
              <w:numPr>
                <w:ilvl w:val="0"/>
                <w:numId w:val="21"/>
              </w:numPr>
              <w:rPr>
                <w:rFonts w:ascii="Arial" w:eastAsia="Times New Roman" w:hAnsi="Arial" w:cs="Arial"/>
                <w:sz w:val="28"/>
                <w:szCs w:val="28"/>
              </w:rPr>
            </w:pPr>
            <w:r w:rsidRPr="00C9332A">
              <w:rPr>
                <w:rFonts w:ascii="Arial" w:eastAsia="Times New Roman" w:hAnsi="Arial" w:cs="Arial"/>
                <w:sz w:val="28"/>
                <w:szCs w:val="28"/>
              </w:rPr>
              <w:t xml:space="preserve">Create an open and inclusive workplace which displays respect for mental ill health. </w:t>
            </w:r>
          </w:p>
          <w:p w14:paraId="6C323B83" w14:textId="77777777" w:rsidR="00C9332A" w:rsidRPr="00C9332A" w:rsidRDefault="00C9332A" w:rsidP="00C9332A">
            <w:pPr>
              <w:rPr>
                <w:rFonts w:ascii="Arial" w:eastAsia="Times New Roman" w:hAnsi="Arial" w:cs="Arial"/>
                <w:sz w:val="28"/>
                <w:szCs w:val="28"/>
              </w:rPr>
            </w:pPr>
          </w:p>
          <w:p w14:paraId="211AC551" w14:textId="77777777" w:rsidR="00C9332A" w:rsidRPr="001A352C" w:rsidRDefault="00C9332A" w:rsidP="001A352C">
            <w:pPr>
              <w:rPr>
                <w:rFonts w:ascii="Arial" w:eastAsia="Times New Roman" w:hAnsi="Arial" w:cs="Arial"/>
                <w:sz w:val="28"/>
                <w:szCs w:val="28"/>
              </w:rPr>
            </w:pPr>
          </w:p>
        </w:tc>
        <w:tc>
          <w:tcPr>
            <w:tcW w:w="1530" w:type="dxa"/>
          </w:tcPr>
          <w:p w14:paraId="1B10874D" w14:textId="15345402" w:rsidR="00C9332A" w:rsidRDefault="00713127" w:rsidP="00801046">
            <w:pPr>
              <w:rPr>
                <w:rFonts w:ascii="Arial" w:eastAsia="Calibri" w:hAnsi="Arial" w:cs="Arial"/>
                <w:bCs/>
                <w:sz w:val="28"/>
                <w:szCs w:val="28"/>
              </w:rPr>
            </w:pPr>
            <w:r>
              <w:rPr>
                <w:rFonts w:ascii="Arial" w:eastAsia="Calibri" w:hAnsi="Arial" w:cs="Arial"/>
                <w:bCs/>
                <w:sz w:val="28"/>
                <w:szCs w:val="28"/>
              </w:rPr>
              <w:t>Revised</w:t>
            </w:r>
          </w:p>
        </w:tc>
        <w:tc>
          <w:tcPr>
            <w:tcW w:w="1959" w:type="dxa"/>
          </w:tcPr>
          <w:p w14:paraId="64234466" w14:textId="4628CFD0" w:rsidR="00C9332A" w:rsidRDefault="00C9332A" w:rsidP="00801046">
            <w:pPr>
              <w:rPr>
                <w:rFonts w:ascii="Arial" w:eastAsia="Calibri" w:hAnsi="Arial" w:cs="Arial"/>
                <w:bCs/>
                <w:sz w:val="28"/>
                <w:szCs w:val="28"/>
              </w:rPr>
            </w:pPr>
            <w:r>
              <w:rPr>
                <w:rFonts w:ascii="Arial" w:eastAsia="Calibri" w:hAnsi="Arial" w:cs="Arial"/>
                <w:bCs/>
                <w:sz w:val="28"/>
                <w:szCs w:val="28"/>
              </w:rPr>
              <w:t>1 October 2025</w:t>
            </w:r>
          </w:p>
        </w:tc>
        <w:tc>
          <w:tcPr>
            <w:tcW w:w="3740" w:type="dxa"/>
          </w:tcPr>
          <w:p w14:paraId="3803FC6F" w14:textId="212A0059" w:rsidR="00C9332A" w:rsidRDefault="00713127" w:rsidP="00801046">
            <w:pPr>
              <w:rPr>
                <w:rFonts w:ascii="Arial" w:eastAsia="Times New Roman" w:hAnsi="Arial" w:cs="Arial"/>
                <w:sz w:val="28"/>
                <w:szCs w:val="28"/>
              </w:rPr>
            </w:pPr>
            <w:r w:rsidRPr="00713127">
              <w:rPr>
                <w:rFonts w:ascii="Arial" w:eastAsia="Times New Roman" w:hAnsi="Arial" w:cs="Arial"/>
                <w:sz w:val="28"/>
                <w:szCs w:val="28"/>
              </w:rPr>
              <w:t xml:space="preserve">No impact on any of the Section 75 categories </w:t>
            </w:r>
          </w:p>
        </w:tc>
      </w:tr>
      <w:tr w:rsidR="00D64796" w:rsidRPr="00621732" w14:paraId="330DCB90" w14:textId="77777777" w:rsidTr="00801046">
        <w:tc>
          <w:tcPr>
            <w:tcW w:w="2689" w:type="dxa"/>
          </w:tcPr>
          <w:p w14:paraId="4FA61F64" w14:textId="23EF302D" w:rsidR="00D64796" w:rsidRDefault="00D64796" w:rsidP="00801046">
            <w:pPr>
              <w:rPr>
                <w:rFonts w:ascii="Arial" w:eastAsia="Calibri" w:hAnsi="Arial" w:cs="Arial"/>
                <w:sz w:val="28"/>
                <w:szCs w:val="28"/>
              </w:rPr>
            </w:pPr>
            <w:r>
              <w:rPr>
                <w:rFonts w:ascii="Arial" w:eastAsia="Calibri" w:hAnsi="Arial" w:cs="Arial"/>
                <w:sz w:val="28"/>
                <w:szCs w:val="28"/>
              </w:rPr>
              <w:t>Shared Parental Leave Guidance</w:t>
            </w:r>
          </w:p>
        </w:tc>
        <w:tc>
          <w:tcPr>
            <w:tcW w:w="5583" w:type="dxa"/>
          </w:tcPr>
          <w:p w14:paraId="0121E04F" w14:textId="237BD545" w:rsidR="00D64796" w:rsidRPr="00D64796" w:rsidRDefault="00D64796" w:rsidP="00D64796">
            <w:pPr>
              <w:rPr>
                <w:rFonts w:ascii="Arial" w:eastAsia="Times New Roman" w:hAnsi="Arial" w:cs="Arial"/>
                <w:sz w:val="28"/>
                <w:szCs w:val="28"/>
              </w:rPr>
            </w:pPr>
            <w:r w:rsidRPr="00D64796">
              <w:rPr>
                <w:rFonts w:ascii="Arial" w:eastAsia="Times New Roman" w:hAnsi="Arial" w:cs="Arial"/>
                <w:sz w:val="28"/>
                <w:szCs w:val="28"/>
              </w:rPr>
              <w:t>This guidance document reflects the amendments from The Work and Families Act (NI)</w:t>
            </w:r>
            <w:r>
              <w:rPr>
                <w:rFonts w:ascii="Arial" w:eastAsia="Times New Roman" w:hAnsi="Arial" w:cs="Arial"/>
                <w:sz w:val="28"/>
                <w:szCs w:val="28"/>
              </w:rPr>
              <w:t xml:space="preserve"> </w:t>
            </w:r>
            <w:r w:rsidRPr="00D64796">
              <w:rPr>
                <w:rFonts w:ascii="Arial" w:eastAsia="Times New Roman" w:hAnsi="Arial" w:cs="Arial"/>
                <w:sz w:val="28"/>
                <w:szCs w:val="28"/>
              </w:rPr>
              <w:t>2015 and provides guidance on your entitlements to Shared Parental Leave and pay</w:t>
            </w:r>
            <w:r>
              <w:rPr>
                <w:rFonts w:ascii="Arial" w:eastAsia="Times New Roman" w:hAnsi="Arial" w:cs="Arial"/>
                <w:sz w:val="28"/>
                <w:szCs w:val="28"/>
              </w:rPr>
              <w:t xml:space="preserve"> </w:t>
            </w:r>
            <w:r w:rsidRPr="00D64796">
              <w:rPr>
                <w:rFonts w:ascii="Arial" w:eastAsia="Times New Roman" w:hAnsi="Arial" w:cs="Arial"/>
                <w:sz w:val="28"/>
                <w:szCs w:val="28"/>
              </w:rPr>
              <w:t xml:space="preserve">arrangements. Shared </w:t>
            </w:r>
            <w:r w:rsidRPr="00D64796">
              <w:rPr>
                <w:rFonts w:ascii="Arial" w:eastAsia="Times New Roman" w:hAnsi="Arial" w:cs="Arial"/>
                <w:sz w:val="28"/>
                <w:szCs w:val="28"/>
              </w:rPr>
              <w:lastRenderedPageBreak/>
              <w:t>Parental Leave (SPL) allows for the voluntary sharing of leave and</w:t>
            </w:r>
          </w:p>
          <w:p w14:paraId="0BA6D5CC" w14:textId="77777777" w:rsidR="00D64796" w:rsidRPr="00D64796" w:rsidRDefault="00D64796" w:rsidP="00D64796">
            <w:pPr>
              <w:rPr>
                <w:rFonts w:ascii="Arial" w:eastAsia="Times New Roman" w:hAnsi="Arial" w:cs="Arial"/>
                <w:sz w:val="28"/>
                <w:szCs w:val="28"/>
              </w:rPr>
            </w:pPr>
            <w:r w:rsidRPr="00D64796">
              <w:rPr>
                <w:rFonts w:ascii="Arial" w:eastAsia="Times New Roman" w:hAnsi="Arial" w:cs="Arial"/>
                <w:sz w:val="28"/>
                <w:szCs w:val="28"/>
              </w:rPr>
              <w:t xml:space="preserve">pay entitlement between parents following the birth or adoption of a child. </w:t>
            </w:r>
          </w:p>
          <w:p w14:paraId="330F3079" w14:textId="67B6A815" w:rsidR="00D64796" w:rsidRPr="00C9332A" w:rsidRDefault="00D64796" w:rsidP="00C9332A">
            <w:pPr>
              <w:rPr>
                <w:rFonts w:ascii="Arial" w:eastAsia="Times New Roman" w:hAnsi="Arial" w:cs="Arial"/>
                <w:sz w:val="28"/>
                <w:szCs w:val="28"/>
              </w:rPr>
            </w:pPr>
          </w:p>
        </w:tc>
        <w:tc>
          <w:tcPr>
            <w:tcW w:w="1530" w:type="dxa"/>
          </w:tcPr>
          <w:p w14:paraId="68C35012" w14:textId="607677EE" w:rsidR="00D64796" w:rsidRDefault="00D64796" w:rsidP="00801046">
            <w:pPr>
              <w:rPr>
                <w:rFonts w:ascii="Arial" w:eastAsia="Calibri" w:hAnsi="Arial" w:cs="Arial"/>
                <w:bCs/>
                <w:sz w:val="28"/>
                <w:szCs w:val="28"/>
              </w:rPr>
            </w:pPr>
            <w:r>
              <w:rPr>
                <w:rFonts w:ascii="Arial" w:eastAsia="Calibri" w:hAnsi="Arial" w:cs="Arial"/>
                <w:bCs/>
                <w:sz w:val="28"/>
                <w:szCs w:val="28"/>
              </w:rPr>
              <w:lastRenderedPageBreak/>
              <w:t>New</w:t>
            </w:r>
          </w:p>
        </w:tc>
        <w:tc>
          <w:tcPr>
            <w:tcW w:w="1959" w:type="dxa"/>
          </w:tcPr>
          <w:p w14:paraId="27E3B2A2" w14:textId="65C7B212" w:rsidR="00D64796" w:rsidRDefault="00D64796" w:rsidP="00801046">
            <w:pPr>
              <w:rPr>
                <w:rFonts w:ascii="Arial" w:eastAsia="Calibri" w:hAnsi="Arial" w:cs="Arial"/>
                <w:bCs/>
                <w:sz w:val="28"/>
                <w:szCs w:val="28"/>
              </w:rPr>
            </w:pPr>
            <w:r>
              <w:rPr>
                <w:rFonts w:ascii="Arial" w:eastAsia="Calibri" w:hAnsi="Arial" w:cs="Arial"/>
                <w:bCs/>
                <w:sz w:val="28"/>
                <w:szCs w:val="28"/>
              </w:rPr>
              <w:t>1 October 2025</w:t>
            </w:r>
          </w:p>
        </w:tc>
        <w:tc>
          <w:tcPr>
            <w:tcW w:w="3740" w:type="dxa"/>
          </w:tcPr>
          <w:p w14:paraId="695B63C1" w14:textId="2D8AB3DD" w:rsidR="00D64796" w:rsidRDefault="00D64796" w:rsidP="00801046">
            <w:pPr>
              <w:rPr>
                <w:rFonts w:ascii="Arial" w:eastAsia="Times New Roman" w:hAnsi="Arial" w:cs="Arial"/>
                <w:sz w:val="28"/>
                <w:szCs w:val="28"/>
              </w:rPr>
            </w:pPr>
            <w:r>
              <w:rPr>
                <w:rFonts w:ascii="Arial" w:eastAsia="Times New Roman" w:hAnsi="Arial" w:cs="Arial"/>
                <w:sz w:val="28"/>
                <w:szCs w:val="28"/>
              </w:rPr>
              <w:t>No impact</w:t>
            </w:r>
          </w:p>
          <w:p w14:paraId="6548C080" w14:textId="720EDD18" w:rsidR="00D64796" w:rsidRPr="00D64796" w:rsidRDefault="00D64796" w:rsidP="00D64796">
            <w:pPr>
              <w:tabs>
                <w:tab w:val="left" w:pos="975"/>
              </w:tabs>
              <w:rPr>
                <w:rFonts w:ascii="Arial" w:eastAsia="Times New Roman" w:hAnsi="Arial" w:cs="Arial"/>
                <w:sz w:val="28"/>
                <w:szCs w:val="28"/>
              </w:rPr>
            </w:pPr>
            <w:r>
              <w:rPr>
                <w:rFonts w:ascii="Arial" w:eastAsia="Times New Roman" w:hAnsi="Arial" w:cs="Arial"/>
                <w:sz w:val="28"/>
                <w:szCs w:val="28"/>
              </w:rPr>
              <w:tab/>
            </w:r>
          </w:p>
        </w:tc>
      </w:tr>
      <w:tr w:rsidR="00C8381E" w:rsidRPr="00621732" w14:paraId="772A6E24" w14:textId="77777777" w:rsidTr="00801046">
        <w:tc>
          <w:tcPr>
            <w:tcW w:w="2689" w:type="dxa"/>
          </w:tcPr>
          <w:p w14:paraId="30F5652B" w14:textId="1EE66687" w:rsidR="00C8381E" w:rsidRDefault="00C8381E" w:rsidP="00801046">
            <w:pPr>
              <w:rPr>
                <w:rFonts w:ascii="Arial" w:eastAsia="Calibri" w:hAnsi="Arial" w:cs="Arial"/>
                <w:sz w:val="28"/>
                <w:szCs w:val="28"/>
              </w:rPr>
            </w:pPr>
            <w:r w:rsidRPr="00C8381E">
              <w:rPr>
                <w:rFonts w:ascii="Arial" w:eastAsia="Calibri" w:hAnsi="Arial" w:cs="Arial"/>
                <w:sz w:val="28"/>
                <w:szCs w:val="28"/>
              </w:rPr>
              <w:t>Parental Leave Guidance Document</w:t>
            </w:r>
          </w:p>
        </w:tc>
        <w:tc>
          <w:tcPr>
            <w:tcW w:w="5583" w:type="dxa"/>
          </w:tcPr>
          <w:p w14:paraId="1461C900" w14:textId="09F92BFC" w:rsidR="00C8381E" w:rsidRPr="00C8381E" w:rsidRDefault="00C8381E" w:rsidP="00C8381E">
            <w:pPr>
              <w:rPr>
                <w:rFonts w:ascii="Arial" w:eastAsia="Times New Roman" w:hAnsi="Arial" w:cs="Arial"/>
                <w:sz w:val="28"/>
                <w:szCs w:val="28"/>
              </w:rPr>
            </w:pPr>
            <w:r w:rsidRPr="00C8381E">
              <w:rPr>
                <w:rFonts w:ascii="Arial" w:eastAsia="Times New Roman" w:hAnsi="Arial" w:cs="Arial"/>
                <w:sz w:val="28"/>
                <w:szCs w:val="28"/>
              </w:rPr>
              <w:t>This guidance document outlines the College’s procedures in relation to Parental Leave</w:t>
            </w:r>
            <w:r>
              <w:rPr>
                <w:rFonts w:ascii="Arial" w:eastAsia="Times New Roman" w:hAnsi="Arial" w:cs="Arial"/>
                <w:sz w:val="28"/>
                <w:szCs w:val="28"/>
              </w:rPr>
              <w:t xml:space="preserve"> </w:t>
            </w:r>
            <w:r w:rsidRPr="00C8381E">
              <w:rPr>
                <w:rFonts w:ascii="Arial" w:eastAsia="Times New Roman" w:hAnsi="Arial" w:cs="Arial"/>
                <w:sz w:val="28"/>
                <w:szCs w:val="28"/>
              </w:rPr>
              <w:t>and Pay. Parental leave allows working parents the right to take unpaid time off work to</w:t>
            </w:r>
          </w:p>
          <w:p w14:paraId="0668BD20" w14:textId="77777777" w:rsidR="00C8381E" w:rsidRPr="00C8381E" w:rsidRDefault="00C8381E" w:rsidP="00C8381E">
            <w:pPr>
              <w:rPr>
                <w:rFonts w:ascii="Arial" w:eastAsia="Times New Roman" w:hAnsi="Arial" w:cs="Arial"/>
                <w:sz w:val="28"/>
                <w:szCs w:val="28"/>
              </w:rPr>
            </w:pPr>
            <w:r w:rsidRPr="00C8381E">
              <w:rPr>
                <w:rFonts w:ascii="Arial" w:eastAsia="Times New Roman" w:hAnsi="Arial" w:cs="Arial"/>
                <w:sz w:val="28"/>
                <w:szCs w:val="28"/>
              </w:rPr>
              <w:t xml:space="preserve">look after a child or </w:t>
            </w:r>
            <w:proofErr w:type="gramStart"/>
            <w:r w:rsidRPr="00C8381E">
              <w:rPr>
                <w:rFonts w:ascii="Arial" w:eastAsia="Times New Roman" w:hAnsi="Arial" w:cs="Arial"/>
                <w:sz w:val="28"/>
                <w:szCs w:val="28"/>
              </w:rPr>
              <w:t>make arrangements</w:t>
            </w:r>
            <w:proofErr w:type="gramEnd"/>
            <w:r w:rsidRPr="00C8381E">
              <w:rPr>
                <w:rFonts w:ascii="Arial" w:eastAsia="Times New Roman" w:hAnsi="Arial" w:cs="Arial"/>
                <w:sz w:val="28"/>
                <w:szCs w:val="28"/>
              </w:rPr>
              <w:t xml:space="preserve"> for their welfare. </w:t>
            </w:r>
          </w:p>
          <w:p w14:paraId="5136E861" w14:textId="77777777" w:rsidR="00C8381E" w:rsidRPr="00C9332A" w:rsidRDefault="00C8381E" w:rsidP="00C9332A">
            <w:pPr>
              <w:rPr>
                <w:rFonts w:ascii="Arial" w:eastAsia="Times New Roman" w:hAnsi="Arial" w:cs="Arial"/>
                <w:sz w:val="28"/>
                <w:szCs w:val="28"/>
              </w:rPr>
            </w:pPr>
          </w:p>
        </w:tc>
        <w:tc>
          <w:tcPr>
            <w:tcW w:w="1530" w:type="dxa"/>
          </w:tcPr>
          <w:p w14:paraId="427DAF33" w14:textId="53623757" w:rsidR="00C8381E" w:rsidRDefault="00C8381E" w:rsidP="00801046">
            <w:pPr>
              <w:rPr>
                <w:rFonts w:ascii="Arial" w:eastAsia="Calibri" w:hAnsi="Arial" w:cs="Arial"/>
                <w:bCs/>
                <w:sz w:val="28"/>
                <w:szCs w:val="28"/>
              </w:rPr>
            </w:pPr>
            <w:r>
              <w:rPr>
                <w:rFonts w:ascii="Arial" w:eastAsia="Calibri" w:hAnsi="Arial" w:cs="Arial"/>
                <w:bCs/>
                <w:sz w:val="28"/>
                <w:szCs w:val="28"/>
              </w:rPr>
              <w:t>New</w:t>
            </w:r>
          </w:p>
        </w:tc>
        <w:tc>
          <w:tcPr>
            <w:tcW w:w="1959" w:type="dxa"/>
          </w:tcPr>
          <w:p w14:paraId="6AB708D2" w14:textId="1ADDCAE3" w:rsidR="00C8381E" w:rsidRDefault="00C8381E" w:rsidP="00801046">
            <w:pPr>
              <w:rPr>
                <w:rFonts w:ascii="Arial" w:eastAsia="Calibri" w:hAnsi="Arial" w:cs="Arial"/>
                <w:bCs/>
                <w:sz w:val="28"/>
                <w:szCs w:val="28"/>
              </w:rPr>
            </w:pPr>
            <w:r>
              <w:rPr>
                <w:rFonts w:ascii="Arial" w:eastAsia="Calibri" w:hAnsi="Arial" w:cs="Arial"/>
                <w:bCs/>
                <w:sz w:val="28"/>
                <w:szCs w:val="28"/>
              </w:rPr>
              <w:t>1 October 2025</w:t>
            </w:r>
          </w:p>
        </w:tc>
        <w:tc>
          <w:tcPr>
            <w:tcW w:w="3740" w:type="dxa"/>
          </w:tcPr>
          <w:p w14:paraId="0ADA6391" w14:textId="04F323B4" w:rsidR="00C8381E" w:rsidRPr="00713127" w:rsidRDefault="00C8381E" w:rsidP="00801046">
            <w:pPr>
              <w:rPr>
                <w:rFonts w:ascii="Arial" w:eastAsia="Times New Roman" w:hAnsi="Arial" w:cs="Arial"/>
                <w:sz w:val="28"/>
                <w:szCs w:val="28"/>
              </w:rPr>
            </w:pPr>
            <w:r>
              <w:rPr>
                <w:rFonts w:ascii="Arial" w:eastAsia="Times New Roman" w:hAnsi="Arial" w:cs="Arial"/>
                <w:sz w:val="28"/>
                <w:szCs w:val="28"/>
              </w:rPr>
              <w:t>No impact</w:t>
            </w:r>
          </w:p>
        </w:tc>
      </w:tr>
      <w:tr w:rsidR="00F33388" w:rsidRPr="00F33388" w14:paraId="1D655BEF" w14:textId="77777777" w:rsidTr="00801046">
        <w:tc>
          <w:tcPr>
            <w:tcW w:w="2689" w:type="dxa"/>
          </w:tcPr>
          <w:p w14:paraId="538E0B07" w14:textId="01832F91" w:rsidR="00F33388" w:rsidRPr="00F33388" w:rsidRDefault="00F33388" w:rsidP="00801046">
            <w:pPr>
              <w:rPr>
                <w:rFonts w:ascii="Arial" w:eastAsia="Calibri" w:hAnsi="Arial" w:cs="Arial"/>
                <w:sz w:val="28"/>
                <w:szCs w:val="28"/>
              </w:rPr>
            </w:pPr>
            <w:r w:rsidRPr="00F33388">
              <w:rPr>
                <w:rFonts w:ascii="Arial" w:eastAsia="Calibri" w:hAnsi="Arial" w:cs="Arial"/>
                <w:sz w:val="28"/>
                <w:szCs w:val="28"/>
              </w:rPr>
              <w:t>References Policy</w:t>
            </w:r>
          </w:p>
        </w:tc>
        <w:tc>
          <w:tcPr>
            <w:tcW w:w="5583" w:type="dxa"/>
          </w:tcPr>
          <w:p w14:paraId="3A0D4CEB" w14:textId="77777777" w:rsidR="00F33388" w:rsidRPr="00F33388" w:rsidRDefault="00F33388" w:rsidP="00F33388">
            <w:pPr>
              <w:rPr>
                <w:rFonts w:ascii="Arial" w:eastAsia="Times New Roman" w:hAnsi="Arial" w:cs="Arial"/>
                <w:b/>
                <w:bCs/>
                <w:sz w:val="28"/>
                <w:szCs w:val="28"/>
              </w:rPr>
            </w:pPr>
            <w:r w:rsidRPr="00F33388">
              <w:rPr>
                <w:rFonts w:ascii="Arial" w:eastAsia="Times New Roman" w:hAnsi="Arial" w:cs="Arial"/>
                <w:sz w:val="28"/>
                <w:szCs w:val="28"/>
              </w:rPr>
              <w:t>The aim of the policy is that the college will ensure all requests for corporate references to external sources are provided in a consistent, fair and equitable manner.</w:t>
            </w:r>
          </w:p>
          <w:p w14:paraId="0B49F545" w14:textId="77777777" w:rsidR="00F33388" w:rsidRPr="00F33388" w:rsidRDefault="00F33388" w:rsidP="001A352C">
            <w:pPr>
              <w:rPr>
                <w:rFonts w:ascii="Arial" w:eastAsia="Times New Roman" w:hAnsi="Arial" w:cs="Arial"/>
                <w:sz w:val="28"/>
                <w:szCs w:val="28"/>
              </w:rPr>
            </w:pPr>
          </w:p>
        </w:tc>
        <w:tc>
          <w:tcPr>
            <w:tcW w:w="1530" w:type="dxa"/>
          </w:tcPr>
          <w:p w14:paraId="2F5316DC" w14:textId="03B356DB" w:rsidR="00F33388" w:rsidRPr="00F33388" w:rsidRDefault="00F33388" w:rsidP="00801046">
            <w:pPr>
              <w:rPr>
                <w:rFonts w:ascii="Arial" w:eastAsia="Calibri" w:hAnsi="Arial" w:cs="Arial"/>
                <w:sz w:val="28"/>
                <w:szCs w:val="28"/>
              </w:rPr>
            </w:pPr>
            <w:r>
              <w:rPr>
                <w:rFonts w:ascii="Arial" w:eastAsia="Calibri" w:hAnsi="Arial" w:cs="Arial"/>
                <w:sz w:val="28"/>
                <w:szCs w:val="28"/>
              </w:rPr>
              <w:t>Existing</w:t>
            </w:r>
          </w:p>
        </w:tc>
        <w:tc>
          <w:tcPr>
            <w:tcW w:w="1959" w:type="dxa"/>
          </w:tcPr>
          <w:p w14:paraId="21A0B1A4" w14:textId="58A2B08F" w:rsidR="00F33388" w:rsidRPr="00F33388" w:rsidRDefault="00F33388" w:rsidP="00801046">
            <w:pPr>
              <w:rPr>
                <w:rFonts w:ascii="Arial" w:eastAsia="Calibri" w:hAnsi="Arial" w:cs="Arial"/>
                <w:sz w:val="28"/>
                <w:szCs w:val="28"/>
              </w:rPr>
            </w:pPr>
            <w:r>
              <w:rPr>
                <w:rFonts w:ascii="Arial" w:eastAsia="Calibri" w:hAnsi="Arial" w:cs="Arial"/>
                <w:sz w:val="28"/>
                <w:szCs w:val="28"/>
              </w:rPr>
              <w:t>1 October 2025</w:t>
            </w:r>
          </w:p>
        </w:tc>
        <w:tc>
          <w:tcPr>
            <w:tcW w:w="3740" w:type="dxa"/>
          </w:tcPr>
          <w:p w14:paraId="2CCBB181" w14:textId="5ECE10E3" w:rsidR="00F33388" w:rsidRPr="00F33388" w:rsidRDefault="00F33388" w:rsidP="00801046">
            <w:pPr>
              <w:rPr>
                <w:rFonts w:ascii="Arial" w:eastAsia="Times New Roman" w:hAnsi="Arial" w:cs="Arial"/>
                <w:sz w:val="28"/>
                <w:szCs w:val="28"/>
              </w:rPr>
            </w:pPr>
            <w:r w:rsidRPr="00F33388">
              <w:rPr>
                <w:rFonts w:ascii="Arial" w:eastAsia="Times New Roman" w:hAnsi="Arial" w:cs="Arial"/>
                <w:sz w:val="28"/>
                <w:szCs w:val="28"/>
              </w:rPr>
              <w:t>Policy has no impact on any of the Section 75 Equality Categories as it is a policy to be adhered to by all staff</w:t>
            </w:r>
          </w:p>
        </w:tc>
      </w:tr>
      <w:tr w:rsidR="005207AA" w:rsidRPr="00621732" w14:paraId="32E53A45" w14:textId="77777777" w:rsidTr="00801046">
        <w:tc>
          <w:tcPr>
            <w:tcW w:w="2689" w:type="dxa"/>
          </w:tcPr>
          <w:p w14:paraId="4E81A0DF" w14:textId="0BC07846" w:rsidR="005207AA" w:rsidRPr="004138BD" w:rsidRDefault="005207AA" w:rsidP="00801046">
            <w:pPr>
              <w:rPr>
                <w:rFonts w:ascii="Arial" w:eastAsia="Calibri" w:hAnsi="Arial" w:cs="Arial"/>
                <w:sz w:val="28"/>
                <w:szCs w:val="28"/>
              </w:rPr>
            </w:pPr>
            <w:r w:rsidRPr="004138BD">
              <w:rPr>
                <w:rFonts w:ascii="Arial" w:eastAsia="Calibri" w:hAnsi="Arial" w:cs="Arial"/>
                <w:sz w:val="28"/>
                <w:szCs w:val="28"/>
              </w:rPr>
              <w:t>Responding to Student Death Procedure and Guidelines</w:t>
            </w:r>
          </w:p>
        </w:tc>
        <w:tc>
          <w:tcPr>
            <w:tcW w:w="5583" w:type="dxa"/>
          </w:tcPr>
          <w:p w14:paraId="375E0214" w14:textId="77777777" w:rsidR="005207AA" w:rsidRPr="005207AA" w:rsidRDefault="005207AA" w:rsidP="005207AA">
            <w:pPr>
              <w:rPr>
                <w:rFonts w:ascii="Arial" w:eastAsia="Times New Roman" w:hAnsi="Arial" w:cs="Arial"/>
                <w:sz w:val="28"/>
                <w:szCs w:val="28"/>
              </w:rPr>
            </w:pPr>
            <w:r w:rsidRPr="005207AA">
              <w:rPr>
                <w:rFonts w:ascii="Arial" w:eastAsia="Times New Roman" w:hAnsi="Arial" w:cs="Arial"/>
                <w:sz w:val="28"/>
                <w:szCs w:val="28"/>
              </w:rPr>
              <w:t>This procedure is intended to provide guidance to staff and to identify appropriate lines of communication and areas of responsibility for those handling the consequences of a student death.</w:t>
            </w:r>
          </w:p>
          <w:p w14:paraId="5E0566CC" w14:textId="77777777" w:rsidR="005207AA" w:rsidRPr="004A710B" w:rsidRDefault="005207AA" w:rsidP="004A710B">
            <w:pPr>
              <w:rPr>
                <w:rFonts w:ascii="Arial" w:eastAsia="Times New Roman" w:hAnsi="Arial" w:cs="Arial"/>
                <w:sz w:val="28"/>
                <w:szCs w:val="28"/>
              </w:rPr>
            </w:pPr>
          </w:p>
        </w:tc>
        <w:tc>
          <w:tcPr>
            <w:tcW w:w="1530" w:type="dxa"/>
          </w:tcPr>
          <w:p w14:paraId="10458D82" w14:textId="46D872D3" w:rsidR="005207AA" w:rsidRDefault="005207AA" w:rsidP="00801046">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57526F32" w14:textId="6118E236" w:rsidR="005207AA" w:rsidRDefault="005207AA" w:rsidP="00801046">
            <w:pPr>
              <w:rPr>
                <w:rFonts w:ascii="Arial" w:eastAsia="Calibri" w:hAnsi="Arial" w:cs="Arial"/>
                <w:bCs/>
                <w:sz w:val="28"/>
                <w:szCs w:val="28"/>
              </w:rPr>
            </w:pPr>
            <w:r>
              <w:rPr>
                <w:rFonts w:ascii="Arial" w:eastAsia="Calibri" w:hAnsi="Arial" w:cs="Arial"/>
                <w:bCs/>
                <w:sz w:val="28"/>
                <w:szCs w:val="28"/>
              </w:rPr>
              <w:t>2 October 2025</w:t>
            </w:r>
          </w:p>
        </w:tc>
        <w:tc>
          <w:tcPr>
            <w:tcW w:w="3740" w:type="dxa"/>
          </w:tcPr>
          <w:p w14:paraId="1080A922" w14:textId="4FA94F50" w:rsidR="005207AA" w:rsidRPr="004A710B" w:rsidRDefault="005207AA" w:rsidP="00801046">
            <w:pPr>
              <w:rPr>
                <w:rFonts w:ascii="Arial" w:eastAsia="Times New Roman" w:hAnsi="Arial" w:cs="Arial"/>
                <w:sz w:val="28"/>
                <w:szCs w:val="28"/>
              </w:rPr>
            </w:pPr>
            <w:r w:rsidRPr="005207AA">
              <w:rPr>
                <w:rFonts w:ascii="Arial" w:eastAsia="Times New Roman" w:hAnsi="Arial" w:cs="Arial"/>
                <w:sz w:val="28"/>
                <w:szCs w:val="28"/>
              </w:rPr>
              <w:t xml:space="preserve">There is no Equality Impact assessment necessary as the policy is guidance for the processes in place when staff are made aware of a student passing.  There is no impact on any of the </w:t>
            </w:r>
            <w:r w:rsidRPr="005207AA">
              <w:rPr>
                <w:rFonts w:ascii="Arial" w:eastAsia="Times New Roman" w:hAnsi="Arial" w:cs="Arial"/>
                <w:sz w:val="28"/>
                <w:szCs w:val="28"/>
              </w:rPr>
              <w:lastRenderedPageBreak/>
              <w:t>Section 75 equality categories.</w:t>
            </w:r>
          </w:p>
        </w:tc>
      </w:tr>
      <w:tr w:rsidR="004138BD" w:rsidRPr="00621732" w14:paraId="31514659" w14:textId="77777777" w:rsidTr="00801046">
        <w:tc>
          <w:tcPr>
            <w:tcW w:w="2689" w:type="dxa"/>
          </w:tcPr>
          <w:p w14:paraId="617BE9D3" w14:textId="77777777" w:rsidR="004138BD" w:rsidRPr="004138BD" w:rsidRDefault="004138BD" w:rsidP="004138BD">
            <w:pPr>
              <w:rPr>
                <w:rFonts w:ascii="Arial" w:eastAsia="Calibri" w:hAnsi="Arial" w:cs="Arial"/>
                <w:sz w:val="28"/>
                <w:szCs w:val="28"/>
              </w:rPr>
            </w:pPr>
            <w:r w:rsidRPr="004138BD">
              <w:rPr>
                <w:rFonts w:ascii="Arial" w:eastAsia="Calibri" w:hAnsi="Arial" w:cs="Arial"/>
                <w:sz w:val="28"/>
                <w:szCs w:val="28"/>
              </w:rPr>
              <w:lastRenderedPageBreak/>
              <w:t>Network Access and Authentication Policy</w:t>
            </w:r>
          </w:p>
          <w:p w14:paraId="35113FB3" w14:textId="77777777" w:rsidR="004138BD" w:rsidRPr="004138BD" w:rsidRDefault="004138BD" w:rsidP="00801046">
            <w:pPr>
              <w:rPr>
                <w:rFonts w:ascii="Arial" w:eastAsia="Calibri" w:hAnsi="Arial" w:cs="Arial"/>
                <w:sz w:val="28"/>
                <w:szCs w:val="28"/>
              </w:rPr>
            </w:pPr>
          </w:p>
        </w:tc>
        <w:tc>
          <w:tcPr>
            <w:tcW w:w="5583" w:type="dxa"/>
          </w:tcPr>
          <w:p w14:paraId="71C5902A" w14:textId="0A32DA75" w:rsidR="004138BD" w:rsidRPr="005207AA" w:rsidRDefault="004138BD" w:rsidP="005207AA">
            <w:pPr>
              <w:rPr>
                <w:rFonts w:ascii="Arial" w:eastAsia="Times New Roman" w:hAnsi="Arial" w:cs="Arial"/>
                <w:sz w:val="28"/>
                <w:szCs w:val="28"/>
              </w:rPr>
            </w:pPr>
            <w:r w:rsidRPr="004138BD">
              <w:rPr>
                <w:rFonts w:ascii="Arial" w:eastAsia="Times New Roman" w:hAnsi="Arial" w:cs="Arial"/>
                <w:sz w:val="28"/>
                <w:szCs w:val="28"/>
              </w:rPr>
              <w:t>The purpose of this policy is to describe what steps must be taken to ensure that users connecting to the college network are authenticated in an appropriate manner, in compliance with college standards, and are given the least amount of access required to perform their job function</w:t>
            </w:r>
          </w:p>
        </w:tc>
        <w:tc>
          <w:tcPr>
            <w:tcW w:w="1530" w:type="dxa"/>
          </w:tcPr>
          <w:p w14:paraId="433888CE" w14:textId="1FFBB9F6" w:rsidR="004138BD" w:rsidRDefault="004138BD" w:rsidP="00801046">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6AE50FE4" w14:textId="4900B3BE" w:rsidR="004138BD" w:rsidRDefault="004138BD" w:rsidP="00801046">
            <w:pPr>
              <w:rPr>
                <w:rFonts w:ascii="Arial" w:eastAsia="Calibri" w:hAnsi="Arial" w:cs="Arial"/>
                <w:bCs/>
                <w:sz w:val="28"/>
                <w:szCs w:val="28"/>
              </w:rPr>
            </w:pPr>
            <w:r>
              <w:rPr>
                <w:rFonts w:ascii="Arial" w:eastAsia="Calibri" w:hAnsi="Arial" w:cs="Arial"/>
                <w:bCs/>
                <w:sz w:val="28"/>
                <w:szCs w:val="28"/>
              </w:rPr>
              <w:t>6 October 2025</w:t>
            </w:r>
          </w:p>
        </w:tc>
        <w:tc>
          <w:tcPr>
            <w:tcW w:w="3740" w:type="dxa"/>
          </w:tcPr>
          <w:p w14:paraId="709F7B7C" w14:textId="603318A3" w:rsidR="004138BD" w:rsidRPr="005207AA" w:rsidRDefault="004138BD" w:rsidP="00801046">
            <w:pPr>
              <w:rPr>
                <w:rFonts w:ascii="Arial" w:eastAsia="Times New Roman" w:hAnsi="Arial" w:cs="Arial"/>
                <w:sz w:val="28"/>
                <w:szCs w:val="28"/>
              </w:rPr>
            </w:pPr>
            <w:r>
              <w:rPr>
                <w:rFonts w:ascii="Arial" w:eastAsia="Times New Roman" w:hAnsi="Arial" w:cs="Arial"/>
                <w:sz w:val="28"/>
                <w:szCs w:val="28"/>
              </w:rPr>
              <w:t xml:space="preserve">This </w:t>
            </w:r>
            <w:r w:rsidRPr="004138BD">
              <w:rPr>
                <w:rFonts w:ascii="Arial" w:eastAsia="Times New Roman" w:hAnsi="Arial" w:cs="Arial"/>
                <w:sz w:val="28"/>
                <w:szCs w:val="28"/>
              </w:rPr>
              <w:t>policy is guidance to explain the need for authentication regardless of equality category</w:t>
            </w:r>
          </w:p>
        </w:tc>
      </w:tr>
      <w:tr w:rsidR="00DB7161" w:rsidRPr="00621732" w14:paraId="6C54335E" w14:textId="77777777" w:rsidTr="00801046">
        <w:tc>
          <w:tcPr>
            <w:tcW w:w="2689" w:type="dxa"/>
          </w:tcPr>
          <w:p w14:paraId="59EF6254" w14:textId="25A23864" w:rsidR="00DB7161" w:rsidRPr="005207AA" w:rsidRDefault="00DB7161" w:rsidP="00801046">
            <w:pPr>
              <w:rPr>
                <w:rFonts w:ascii="Arial" w:eastAsia="Calibri" w:hAnsi="Arial" w:cs="Arial"/>
                <w:sz w:val="28"/>
                <w:szCs w:val="28"/>
              </w:rPr>
            </w:pPr>
            <w:r w:rsidRPr="00DB7161">
              <w:rPr>
                <w:rFonts w:ascii="Arial" w:eastAsia="Calibri" w:hAnsi="Arial" w:cs="Arial"/>
                <w:sz w:val="28"/>
                <w:szCs w:val="28"/>
              </w:rPr>
              <w:t>Paternity Leave Guidance Document</w:t>
            </w:r>
          </w:p>
        </w:tc>
        <w:tc>
          <w:tcPr>
            <w:tcW w:w="5583" w:type="dxa"/>
          </w:tcPr>
          <w:p w14:paraId="4F9C0BDA" w14:textId="007554DB" w:rsidR="00DB7161" w:rsidRPr="005207AA" w:rsidRDefault="00DB7161" w:rsidP="005207AA">
            <w:pPr>
              <w:rPr>
                <w:rFonts w:ascii="Arial" w:eastAsia="Times New Roman" w:hAnsi="Arial" w:cs="Arial"/>
                <w:sz w:val="28"/>
                <w:szCs w:val="28"/>
              </w:rPr>
            </w:pPr>
            <w:r w:rsidRPr="00DB7161">
              <w:rPr>
                <w:rFonts w:ascii="Arial" w:eastAsia="Times New Roman" w:hAnsi="Arial" w:cs="Arial"/>
                <w:sz w:val="28"/>
                <w:szCs w:val="28"/>
              </w:rPr>
              <w:t>This document provides guidance for staff regarding their rights and responsibilities related to paternity leave. It outlines the eligibility criteria, application process, duration, and pay entitlements. This guidance complies with the relevant Northern Ireland employment laws and aims to support new fathers or partners in balancing work and family life.</w:t>
            </w:r>
          </w:p>
        </w:tc>
        <w:tc>
          <w:tcPr>
            <w:tcW w:w="1530" w:type="dxa"/>
          </w:tcPr>
          <w:p w14:paraId="307F9425" w14:textId="16D75315" w:rsidR="00DB7161" w:rsidRDefault="00DB7161" w:rsidP="00801046">
            <w:pPr>
              <w:rPr>
                <w:rFonts w:ascii="Arial" w:eastAsia="Calibri" w:hAnsi="Arial" w:cs="Arial"/>
                <w:bCs/>
                <w:sz w:val="28"/>
                <w:szCs w:val="28"/>
              </w:rPr>
            </w:pPr>
            <w:r>
              <w:rPr>
                <w:rFonts w:ascii="Arial" w:eastAsia="Calibri" w:hAnsi="Arial" w:cs="Arial"/>
                <w:bCs/>
                <w:sz w:val="28"/>
                <w:szCs w:val="28"/>
              </w:rPr>
              <w:t>New</w:t>
            </w:r>
          </w:p>
        </w:tc>
        <w:tc>
          <w:tcPr>
            <w:tcW w:w="1959" w:type="dxa"/>
          </w:tcPr>
          <w:p w14:paraId="29632323" w14:textId="29965FF1" w:rsidR="00DB7161" w:rsidRDefault="00DB7161" w:rsidP="00801046">
            <w:pPr>
              <w:rPr>
                <w:rFonts w:ascii="Arial" w:eastAsia="Calibri" w:hAnsi="Arial" w:cs="Arial"/>
                <w:bCs/>
                <w:sz w:val="28"/>
                <w:szCs w:val="28"/>
              </w:rPr>
            </w:pPr>
            <w:r>
              <w:rPr>
                <w:rFonts w:ascii="Arial" w:eastAsia="Calibri" w:hAnsi="Arial" w:cs="Arial"/>
                <w:bCs/>
                <w:sz w:val="28"/>
                <w:szCs w:val="28"/>
              </w:rPr>
              <w:t>9 October 2025</w:t>
            </w:r>
          </w:p>
        </w:tc>
        <w:tc>
          <w:tcPr>
            <w:tcW w:w="3740" w:type="dxa"/>
          </w:tcPr>
          <w:p w14:paraId="5B47CB6E" w14:textId="2EF25AB6" w:rsidR="00DB7161" w:rsidRPr="005207AA" w:rsidRDefault="00DB7161" w:rsidP="00801046">
            <w:pPr>
              <w:rPr>
                <w:rFonts w:ascii="Arial" w:eastAsia="Times New Roman" w:hAnsi="Arial" w:cs="Arial"/>
                <w:sz w:val="28"/>
                <w:szCs w:val="28"/>
              </w:rPr>
            </w:pPr>
            <w:r w:rsidRPr="00DB7161">
              <w:rPr>
                <w:rFonts w:ascii="Arial" w:eastAsia="Times New Roman" w:hAnsi="Arial" w:cs="Arial"/>
                <w:sz w:val="28"/>
                <w:szCs w:val="28"/>
              </w:rPr>
              <w:t>No impact on any of the Section 75 categories for relevant support staff.</w:t>
            </w:r>
          </w:p>
        </w:tc>
      </w:tr>
      <w:tr w:rsidR="00C834DE" w:rsidRPr="00621732" w14:paraId="604AD908" w14:textId="77777777" w:rsidTr="00801046">
        <w:tc>
          <w:tcPr>
            <w:tcW w:w="2689" w:type="dxa"/>
          </w:tcPr>
          <w:p w14:paraId="42F9E186" w14:textId="44C4BF4B" w:rsidR="00C834DE" w:rsidRDefault="00F33388" w:rsidP="00801046">
            <w:pPr>
              <w:rPr>
                <w:rFonts w:ascii="Arial" w:eastAsia="Calibri" w:hAnsi="Arial" w:cs="Arial"/>
                <w:sz w:val="28"/>
                <w:szCs w:val="28"/>
              </w:rPr>
            </w:pPr>
            <w:r>
              <w:rPr>
                <w:rFonts w:ascii="Arial" w:eastAsia="Calibri" w:hAnsi="Arial" w:cs="Arial"/>
                <w:sz w:val="28"/>
                <w:szCs w:val="28"/>
              </w:rPr>
              <w:t>Fees and Charges Policy</w:t>
            </w:r>
          </w:p>
        </w:tc>
        <w:tc>
          <w:tcPr>
            <w:tcW w:w="5583" w:type="dxa"/>
          </w:tcPr>
          <w:p w14:paraId="2B5664F6" w14:textId="6F68408C" w:rsidR="00F33388" w:rsidRPr="00F33388" w:rsidRDefault="00F33388" w:rsidP="00F33388">
            <w:pPr>
              <w:rPr>
                <w:rFonts w:ascii="Arial" w:eastAsia="Times New Roman" w:hAnsi="Arial" w:cs="Arial"/>
                <w:sz w:val="28"/>
                <w:szCs w:val="28"/>
              </w:rPr>
            </w:pPr>
            <w:r w:rsidRPr="00F33388">
              <w:rPr>
                <w:rFonts w:ascii="Arial" w:eastAsia="Times New Roman" w:hAnsi="Arial" w:cs="Arial"/>
                <w:sz w:val="28"/>
                <w:szCs w:val="28"/>
              </w:rPr>
              <w:t>The purpose of this Fees and Charges Policy is t</w:t>
            </w:r>
            <w:r>
              <w:rPr>
                <w:rFonts w:ascii="Arial" w:eastAsia="Times New Roman" w:hAnsi="Arial" w:cs="Arial"/>
                <w:sz w:val="28"/>
                <w:szCs w:val="28"/>
              </w:rPr>
              <w:t>o o</w:t>
            </w:r>
            <w:r w:rsidRPr="00F33388">
              <w:rPr>
                <w:rFonts w:ascii="Arial" w:eastAsia="Times New Roman" w:hAnsi="Arial" w:cs="Arial"/>
                <w:sz w:val="28"/>
                <w:szCs w:val="28"/>
              </w:rPr>
              <w:t xml:space="preserve">perate fees and charges for the provision of appropriate educational facilities and services </w:t>
            </w:r>
            <w:proofErr w:type="gramStart"/>
            <w:r w:rsidRPr="00F33388">
              <w:rPr>
                <w:rFonts w:ascii="Arial" w:eastAsia="Times New Roman" w:hAnsi="Arial" w:cs="Arial"/>
                <w:sz w:val="28"/>
                <w:szCs w:val="28"/>
              </w:rPr>
              <w:t>so as to</w:t>
            </w:r>
            <w:proofErr w:type="gramEnd"/>
            <w:r w:rsidRPr="00F33388">
              <w:rPr>
                <w:rFonts w:ascii="Arial" w:eastAsia="Times New Roman" w:hAnsi="Arial" w:cs="Arial"/>
                <w:sz w:val="28"/>
                <w:szCs w:val="28"/>
              </w:rPr>
              <w:t xml:space="preserve"> recoup a reasonable proportion of expenditure while acting in a fair and equitable manner towards existing and prospective students and other customers. </w:t>
            </w:r>
          </w:p>
          <w:p w14:paraId="074DA6CD" w14:textId="77777777" w:rsidR="00C834DE" w:rsidRPr="00DB7161" w:rsidRDefault="00C834DE" w:rsidP="005207AA">
            <w:pPr>
              <w:rPr>
                <w:rFonts w:ascii="Arial" w:eastAsia="Times New Roman" w:hAnsi="Arial" w:cs="Arial"/>
                <w:sz w:val="28"/>
                <w:szCs w:val="28"/>
              </w:rPr>
            </w:pPr>
          </w:p>
        </w:tc>
        <w:tc>
          <w:tcPr>
            <w:tcW w:w="1530" w:type="dxa"/>
          </w:tcPr>
          <w:p w14:paraId="4904C723" w14:textId="1E5D554E" w:rsidR="00C834DE" w:rsidRDefault="00F33388" w:rsidP="00801046">
            <w:pPr>
              <w:rPr>
                <w:rFonts w:ascii="Arial" w:eastAsia="Calibri" w:hAnsi="Arial" w:cs="Arial"/>
                <w:bCs/>
                <w:sz w:val="28"/>
                <w:szCs w:val="28"/>
              </w:rPr>
            </w:pPr>
            <w:r>
              <w:rPr>
                <w:rFonts w:ascii="Arial" w:eastAsia="Calibri" w:hAnsi="Arial" w:cs="Arial"/>
                <w:bCs/>
                <w:sz w:val="28"/>
                <w:szCs w:val="28"/>
              </w:rPr>
              <w:lastRenderedPageBreak/>
              <w:t>Revised</w:t>
            </w:r>
          </w:p>
        </w:tc>
        <w:tc>
          <w:tcPr>
            <w:tcW w:w="1959" w:type="dxa"/>
          </w:tcPr>
          <w:p w14:paraId="57585A30" w14:textId="17E8AE37" w:rsidR="00C834DE" w:rsidRDefault="00F33388" w:rsidP="00801046">
            <w:pPr>
              <w:rPr>
                <w:rFonts w:ascii="Arial" w:eastAsia="Calibri" w:hAnsi="Arial" w:cs="Arial"/>
                <w:bCs/>
                <w:sz w:val="28"/>
                <w:szCs w:val="28"/>
              </w:rPr>
            </w:pPr>
            <w:r>
              <w:rPr>
                <w:rFonts w:ascii="Arial" w:eastAsia="Calibri" w:hAnsi="Arial" w:cs="Arial"/>
                <w:bCs/>
                <w:sz w:val="28"/>
                <w:szCs w:val="28"/>
              </w:rPr>
              <w:t>13 October 2025</w:t>
            </w:r>
          </w:p>
        </w:tc>
        <w:tc>
          <w:tcPr>
            <w:tcW w:w="3740" w:type="dxa"/>
          </w:tcPr>
          <w:p w14:paraId="7388C06C" w14:textId="3CC56598" w:rsidR="00C834DE" w:rsidRPr="00DB7161" w:rsidRDefault="00F33388" w:rsidP="00801046">
            <w:pPr>
              <w:rPr>
                <w:rFonts w:ascii="Arial" w:eastAsia="Times New Roman" w:hAnsi="Arial" w:cs="Arial"/>
                <w:sz w:val="28"/>
                <w:szCs w:val="28"/>
              </w:rPr>
            </w:pPr>
            <w:r w:rsidRPr="00F33388">
              <w:rPr>
                <w:rFonts w:ascii="Arial" w:eastAsia="Times New Roman" w:hAnsi="Arial" w:cs="Arial"/>
                <w:sz w:val="28"/>
                <w:szCs w:val="28"/>
              </w:rPr>
              <w:t>No impact on any of the Section 75 equality categories</w:t>
            </w:r>
          </w:p>
        </w:tc>
      </w:tr>
      <w:tr w:rsidR="00C834DE" w:rsidRPr="00621732" w14:paraId="3C453290" w14:textId="77777777" w:rsidTr="00801046">
        <w:tc>
          <w:tcPr>
            <w:tcW w:w="2689" w:type="dxa"/>
          </w:tcPr>
          <w:p w14:paraId="6A40D0BD" w14:textId="627B2166" w:rsidR="00C834DE" w:rsidRDefault="00345D29" w:rsidP="00801046">
            <w:pPr>
              <w:rPr>
                <w:rFonts w:ascii="Arial" w:eastAsia="Calibri" w:hAnsi="Arial" w:cs="Arial"/>
                <w:sz w:val="28"/>
                <w:szCs w:val="28"/>
              </w:rPr>
            </w:pPr>
            <w:r w:rsidRPr="00345D29">
              <w:rPr>
                <w:rFonts w:ascii="Arial" w:eastAsia="Calibri" w:hAnsi="Arial" w:cs="Arial"/>
                <w:sz w:val="28"/>
                <w:szCs w:val="28"/>
              </w:rPr>
              <w:t>Guidance on Data Protection Impact Assessments</w:t>
            </w:r>
          </w:p>
        </w:tc>
        <w:tc>
          <w:tcPr>
            <w:tcW w:w="5583" w:type="dxa"/>
          </w:tcPr>
          <w:p w14:paraId="1441E77F" w14:textId="77777777" w:rsidR="00345D29" w:rsidRPr="00345D29" w:rsidRDefault="00345D29" w:rsidP="00345D29">
            <w:pPr>
              <w:rPr>
                <w:rFonts w:ascii="Arial" w:eastAsia="Times New Roman" w:hAnsi="Arial" w:cs="Arial"/>
                <w:sz w:val="28"/>
                <w:szCs w:val="28"/>
              </w:rPr>
            </w:pPr>
            <w:r w:rsidRPr="00345D29">
              <w:rPr>
                <w:rFonts w:ascii="Arial" w:eastAsia="Times New Roman" w:hAnsi="Arial" w:cs="Arial"/>
                <w:sz w:val="28"/>
                <w:szCs w:val="28"/>
              </w:rPr>
              <w:t>This Guidance aims to assist staff completing Data Protection Impact Assessments (DPIAs) for the development of new (or amendment of current) processing.  The Guidance outlines the how to complete the DPIA template effectively to identify and manage risks associated with processing.</w:t>
            </w:r>
          </w:p>
          <w:p w14:paraId="5394D72C" w14:textId="77777777" w:rsidR="00C834DE" w:rsidRPr="00DB7161" w:rsidRDefault="00C834DE" w:rsidP="005207AA">
            <w:pPr>
              <w:rPr>
                <w:rFonts w:ascii="Arial" w:eastAsia="Times New Roman" w:hAnsi="Arial" w:cs="Arial"/>
                <w:sz w:val="28"/>
                <w:szCs w:val="28"/>
              </w:rPr>
            </w:pPr>
          </w:p>
        </w:tc>
        <w:tc>
          <w:tcPr>
            <w:tcW w:w="1530" w:type="dxa"/>
          </w:tcPr>
          <w:p w14:paraId="100F9E23" w14:textId="7F09E75E" w:rsidR="00C834DE" w:rsidRDefault="00345D29" w:rsidP="00801046">
            <w:pPr>
              <w:rPr>
                <w:rFonts w:ascii="Arial" w:eastAsia="Calibri" w:hAnsi="Arial" w:cs="Arial"/>
                <w:bCs/>
                <w:sz w:val="28"/>
                <w:szCs w:val="28"/>
              </w:rPr>
            </w:pPr>
            <w:r>
              <w:rPr>
                <w:rFonts w:ascii="Arial" w:eastAsia="Calibri" w:hAnsi="Arial" w:cs="Arial"/>
                <w:bCs/>
                <w:sz w:val="28"/>
                <w:szCs w:val="28"/>
              </w:rPr>
              <w:t>Revised</w:t>
            </w:r>
          </w:p>
        </w:tc>
        <w:tc>
          <w:tcPr>
            <w:tcW w:w="1959" w:type="dxa"/>
          </w:tcPr>
          <w:p w14:paraId="42324E73" w14:textId="50C70F3F" w:rsidR="00C834DE" w:rsidRDefault="00345D29" w:rsidP="00801046">
            <w:pPr>
              <w:rPr>
                <w:rFonts w:ascii="Arial" w:eastAsia="Calibri" w:hAnsi="Arial" w:cs="Arial"/>
                <w:bCs/>
                <w:sz w:val="28"/>
                <w:szCs w:val="28"/>
              </w:rPr>
            </w:pPr>
            <w:r>
              <w:rPr>
                <w:rFonts w:ascii="Arial" w:eastAsia="Calibri" w:hAnsi="Arial" w:cs="Arial"/>
                <w:bCs/>
                <w:sz w:val="28"/>
                <w:szCs w:val="28"/>
              </w:rPr>
              <w:t>20 October 2025</w:t>
            </w:r>
          </w:p>
        </w:tc>
        <w:tc>
          <w:tcPr>
            <w:tcW w:w="3740" w:type="dxa"/>
          </w:tcPr>
          <w:p w14:paraId="1EF8724A" w14:textId="77A4309F" w:rsidR="00C834DE" w:rsidRPr="00DB7161" w:rsidRDefault="00345D29" w:rsidP="00801046">
            <w:pPr>
              <w:rPr>
                <w:rFonts w:ascii="Arial" w:eastAsia="Times New Roman" w:hAnsi="Arial" w:cs="Arial"/>
                <w:sz w:val="28"/>
                <w:szCs w:val="28"/>
              </w:rPr>
            </w:pPr>
            <w:r>
              <w:rPr>
                <w:rFonts w:ascii="Arial" w:eastAsia="Times New Roman" w:hAnsi="Arial" w:cs="Arial"/>
                <w:sz w:val="28"/>
                <w:szCs w:val="28"/>
              </w:rPr>
              <w:t>T</w:t>
            </w:r>
            <w:r w:rsidRPr="00345D29">
              <w:rPr>
                <w:rFonts w:ascii="Arial" w:eastAsia="Times New Roman" w:hAnsi="Arial" w:cs="Arial"/>
                <w:sz w:val="28"/>
                <w:szCs w:val="28"/>
              </w:rPr>
              <w:t>his guide has no adverse impact on any of the s.75 categories</w:t>
            </w:r>
          </w:p>
        </w:tc>
      </w:tr>
      <w:tr w:rsidR="00C834DE" w:rsidRPr="00621732" w14:paraId="0B0615C9" w14:textId="77777777" w:rsidTr="00801046">
        <w:tc>
          <w:tcPr>
            <w:tcW w:w="2689" w:type="dxa"/>
          </w:tcPr>
          <w:p w14:paraId="0F9B786E" w14:textId="50F47F21" w:rsidR="00C834DE" w:rsidRDefault="00EA0263" w:rsidP="00801046">
            <w:pPr>
              <w:rPr>
                <w:rFonts w:ascii="Arial" w:eastAsia="Calibri" w:hAnsi="Arial" w:cs="Arial"/>
                <w:sz w:val="28"/>
                <w:szCs w:val="28"/>
              </w:rPr>
            </w:pPr>
            <w:r w:rsidRPr="00EA0263">
              <w:rPr>
                <w:rFonts w:ascii="Arial" w:eastAsia="Calibri" w:hAnsi="Arial" w:cs="Arial"/>
                <w:sz w:val="28"/>
                <w:szCs w:val="28"/>
              </w:rPr>
              <w:t>Malware Management Policy</w:t>
            </w:r>
          </w:p>
        </w:tc>
        <w:tc>
          <w:tcPr>
            <w:tcW w:w="5583" w:type="dxa"/>
          </w:tcPr>
          <w:p w14:paraId="7DA5AFA1" w14:textId="7EC6F392" w:rsidR="00EA0263" w:rsidRPr="00EA0263" w:rsidRDefault="00EA0263" w:rsidP="00EA0263">
            <w:pPr>
              <w:rPr>
                <w:rFonts w:ascii="Arial" w:eastAsia="Times New Roman" w:hAnsi="Arial" w:cs="Arial"/>
                <w:sz w:val="28"/>
                <w:szCs w:val="28"/>
              </w:rPr>
            </w:pPr>
            <w:r w:rsidRPr="00EA0263">
              <w:rPr>
                <w:rFonts w:ascii="Arial" w:eastAsia="Times New Roman" w:hAnsi="Arial" w:cs="Arial"/>
                <w:sz w:val="28"/>
                <w:szCs w:val="28"/>
              </w:rPr>
              <w:t>Aims of the Malware Management Policy:</w:t>
            </w:r>
          </w:p>
          <w:p w14:paraId="584FAF1E" w14:textId="1C1EEA2C" w:rsidR="00EA0263" w:rsidRPr="00EA0263" w:rsidRDefault="00EA0263" w:rsidP="00EA0263">
            <w:pPr>
              <w:numPr>
                <w:ilvl w:val="0"/>
                <w:numId w:val="14"/>
              </w:numPr>
              <w:rPr>
                <w:rFonts w:ascii="Arial" w:eastAsia="Times New Roman" w:hAnsi="Arial" w:cs="Arial"/>
                <w:sz w:val="28"/>
                <w:szCs w:val="28"/>
              </w:rPr>
            </w:pPr>
            <w:r w:rsidRPr="00EA0263">
              <w:rPr>
                <w:rFonts w:ascii="Arial" w:eastAsia="Times New Roman" w:hAnsi="Arial" w:cs="Arial"/>
                <w:sz w:val="28"/>
                <w:szCs w:val="28"/>
              </w:rPr>
              <w:t xml:space="preserve">Protection of IT Infrastructure: </w:t>
            </w:r>
          </w:p>
          <w:p w14:paraId="03FE0704" w14:textId="7366D183" w:rsidR="00EA0263" w:rsidRPr="00EA0263" w:rsidRDefault="00EA0263" w:rsidP="00EA0263">
            <w:pPr>
              <w:numPr>
                <w:ilvl w:val="0"/>
                <w:numId w:val="14"/>
              </w:numPr>
              <w:rPr>
                <w:rFonts w:ascii="Arial" w:eastAsia="Times New Roman" w:hAnsi="Arial" w:cs="Arial"/>
                <w:sz w:val="28"/>
                <w:szCs w:val="28"/>
              </w:rPr>
            </w:pPr>
            <w:r w:rsidRPr="00EA0263">
              <w:rPr>
                <w:rFonts w:ascii="Arial" w:eastAsia="Times New Roman" w:hAnsi="Arial" w:cs="Arial"/>
                <w:sz w:val="28"/>
                <w:szCs w:val="28"/>
              </w:rPr>
              <w:t xml:space="preserve">Ensuring Data Security: </w:t>
            </w:r>
          </w:p>
          <w:p w14:paraId="435FD442" w14:textId="4A80817D" w:rsidR="00EA0263" w:rsidRPr="00EA0263" w:rsidRDefault="00EA0263" w:rsidP="00EA0263">
            <w:pPr>
              <w:numPr>
                <w:ilvl w:val="0"/>
                <w:numId w:val="14"/>
              </w:numPr>
              <w:rPr>
                <w:rFonts w:ascii="Arial" w:eastAsia="Times New Roman" w:hAnsi="Arial" w:cs="Arial"/>
                <w:sz w:val="28"/>
                <w:szCs w:val="28"/>
              </w:rPr>
            </w:pPr>
            <w:r w:rsidRPr="00EA0263">
              <w:rPr>
                <w:rFonts w:ascii="Arial" w:eastAsia="Times New Roman" w:hAnsi="Arial" w:cs="Arial"/>
                <w:sz w:val="28"/>
                <w:szCs w:val="28"/>
              </w:rPr>
              <w:t xml:space="preserve">Minimising Operational Disruption: </w:t>
            </w:r>
          </w:p>
          <w:p w14:paraId="4E5EBD78" w14:textId="5AFAC068" w:rsidR="00EA0263" w:rsidRPr="00EA0263" w:rsidRDefault="00EA0263" w:rsidP="00EA0263">
            <w:pPr>
              <w:numPr>
                <w:ilvl w:val="0"/>
                <w:numId w:val="14"/>
              </w:numPr>
              <w:rPr>
                <w:rFonts w:ascii="Arial" w:eastAsia="Times New Roman" w:hAnsi="Arial" w:cs="Arial"/>
                <w:sz w:val="28"/>
                <w:szCs w:val="28"/>
              </w:rPr>
            </w:pPr>
            <w:r w:rsidRPr="00EA0263">
              <w:rPr>
                <w:rFonts w:ascii="Arial" w:eastAsia="Times New Roman" w:hAnsi="Arial" w:cs="Arial"/>
                <w:sz w:val="28"/>
                <w:szCs w:val="28"/>
              </w:rPr>
              <w:t xml:space="preserve">User Awareness and Education: </w:t>
            </w:r>
          </w:p>
          <w:p w14:paraId="5A67DAD8" w14:textId="60B444F9" w:rsidR="00C834DE" w:rsidRPr="00DB7161" w:rsidRDefault="00EA0263" w:rsidP="00EA0263">
            <w:pPr>
              <w:numPr>
                <w:ilvl w:val="0"/>
                <w:numId w:val="14"/>
              </w:numPr>
              <w:rPr>
                <w:rFonts w:ascii="Arial" w:eastAsia="Times New Roman" w:hAnsi="Arial" w:cs="Arial"/>
                <w:sz w:val="28"/>
                <w:szCs w:val="28"/>
              </w:rPr>
            </w:pPr>
            <w:r w:rsidRPr="00EA0263">
              <w:rPr>
                <w:rFonts w:ascii="Arial" w:eastAsia="Times New Roman" w:hAnsi="Arial" w:cs="Arial"/>
                <w:sz w:val="28"/>
                <w:szCs w:val="28"/>
              </w:rPr>
              <w:t xml:space="preserve">Compliance with Legal and Regulatory Requirements: </w:t>
            </w:r>
          </w:p>
        </w:tc>
        <w:tc>
          <w:tcPr>
            <w:tcW w:w="1530" w:type="dxa"/>
          </w:tcPr>
          <w:p w14:paraId="5D4363DD" w14:textId="7CCCEFB4" w:rsidR="00C834DE" w:rsidRDefault="00EA0263" w:rsidP="00801046">
            <w:pPr>
              <w:rPr>
                <w:rFonts w:ascii="Arial" w:eastAsia="Calibri" w:hAnsi="Arial" w:cs="Arial"/>
                <w:bCs/>
                <w:sz w:val="28"/>
                <w:szCs w:val="28"/>
              </w:rPr>
            </w:pPr>
            <w:r>
              <w:rPr>
                <w:rFonts w:ascii="Arial" w:eastAsia="Calibri" w:hAnsi="Arial" w:cs="Arial"/>
                <w:bCs/>
                <w:sz w:val="28"/>
                <w:szCs w:val="28"/>
              </w:rPr>
              <w:t>New</w:t>
            </w:r>
          </w:p>
        </w:tc>
        <w:tc>
          <w:tcPr>
            <w:tcW w:w="1959" w:type="dxa"/>
          </w:tcPr>
          <w:p w14:paraId="7D5AF57D" w14:textId="60D4B331" w:rsidR="00C834DE" w:rsidRDefault="00EA0263" w:rsidP="00801046">
            <w:pPr>
              <w:rPr>
                <w:rFonts w:ascii="Arial" w:eastAsia="Calibri" w:hAnsi="Arial" w:cs="Arial"/>
                <w:bCs/>
                <w:sz w:val="28"/>
                <w:szCs w:val="28"/>
              </w:rPr>
            </w:pPr>
            <w:r>
              <w:rPr>
                <w:rFonts w:ascii="Arial" w:eastAsia="Calibri" w:hAnsi="Arial" w:cs="Arial"/>
                <w:bCs/>
                <w:sz w:val="28"/>
                <w:szCs w:val="28"/>
              </w:rPr>
              <w:t>17 November 2025</w:t>
            </w:r>
          </w:p>
        </w:tc>
        <w:tc>
          <w:tcPr>
            <w:tcW w:w="3740" w:type="dxa"/>
          </w:tcPr>
          <w:p w14:paraId="2588C54E" w14:textId="5EE8ABA4" w:rsidR="00C834DE" w:rsidRPr="00DB7161" w:rsidRDefault="00EA0263" w:rsidP="00801046">
            <w:pPr>
              <w:rPr>
                <w:rFonts w:ascii="Arial" w:eastAsia="Times New Roman" w:hAnsi="Arial" w:cs="Arial"/>
                <w:sz w:val="28"/>
                <w:szCs w:val="28"/>
              </w:rPr>
            </w:pPr>
            <w:r w:rsidRPr="00EA0263">
              <w:rPr>
                <w:rFonts w:ascii="Arial" w:eastAsia="Times New Roman" w:hAnsi="Arial" w:cs="Arial"/>
                <w:sz w:val="28"/>
                <w:szCs w:val="28"/>
              </w:rPr>
              <w:t xml:space="preserve">Policy is guidance to communicate the importance of Cyber Security compliance </w:t>
            </w:r>
            <w:proofErr w:type="gramStart"/>
            <w:r w:rsidRPr="00EA0263">
              <w:rPr>
                <w:rFonts w:ascii="Arial" w:eastAsia="Times New Roman" w:hAnsi="Arial" w:cs="Arial"/>
                <w:sz w:val="28"/>
                <w:szCs w:val="28"/>
              </w:rPr>
              <w:t>with regard to</w:t>
            </w:r>
            <w:proofErr w:type="gramEnd"/>
            <w:r w:rsidRPr="00EA0263">
              <w:rPr>
                <w:rFonts w:ascii="Arial" w:eastAsia="Times New Roman" w:hAnsi="Arial" w:cs="Arial"/>
                <w:sz w:val="28"/>
                <w:szCs w:val="28"/>
              </w:rPr>
              <w:t xml:space="preserve"> Malware scanning and remediation regardless of equality category</w:t>
            </w:r>
          </w:p>
        </w:tc>
      </w:tr>
      <w:tr w:rsidR="004A7C13" w:rsidRPr="00621732" w14:paraId="7D4011BD" w14:textId="77777777" w:rsidTr="0004497C">
        <w:tc>
          <w:tcPr>
            <w:tcW w:w="2689" w:type="dxa"/>
          </w:tcPr>
          <w:p w14:paraId="12E88333" w14:textId="77777777" w:rsidR="004A7C13" w:rsidRPr="004A7C13" w:rsidRDefault="004A7C13" w:rsidP="004A7C13">
            <w:pPr>
              <w:rPr>
                <w:rFonts w:ascii="Arial" w:eastAsia="Calibri" w:hAnsi="Arial" w:cs="Arial"/>
                <w:sz w:val="28"/>
                <w:szCs w:val="28"/>
              </w:rPr>
            </w:pPr>
            <w:r w:rsidRPr="004A7C13">
              <w:rPr>
                <w:rFonts w:ascii="Arial" w:eastAsia="Calibri" w:hAnsi="Arial" w:cs="Arial"/>
                <w:sz w:val="28"/>
                <w:szCs w:val="28"/>
              </w:rPr>
              <w:t xml:space="preserve">Physical Environmental Security Policy </w:t>
            </w:r>
          </w:p>
          <w:p w14:paraId="128718F6" w14:textId="77777777" w:rsidR="004A7C13" w:rsidRDefault="004A7C13" w:rsidP="0004497C">
            <w:pPr>
              <w:rPr>
                <w:rFonts w:ascii="Arial" w:eastAsia="Calibri" w:hAnsi="Arial" w:cs="Arial"/>
                <w:sz w:val="28"/>
                <w:szCs w:val="28"/>
              </w:rPr>
            </w:pPr>
          </w:p>
        </w:tc>
        <w:tc>
          <w:tcPr>
            <w:tcW w:w="5583" w:type="dxa"/>
          </w:tcPr>
          <w:p w14:paraId="63D55F52" w14:textId="41322A4A" w:rsidR="004A7C13" w:rsidRPr="00DB7161" w:rsidRDefault="004A7C13" w:rsidP="0004497C">
            <w:pPr>
              <w:rPr>
                <w:rFonts w:ascii="Arial" w:eastAsia="Times New Roman" w:hAnsi="Arial" w:cs="Arial"/>
                <w:sz w:val="28"/>
                <w:szCs w:val="28"/>
              </w:rPr>
            </w:pPr>
            <w:r w:rsidRPr="004A7C13">
              <w:rPr>
                <w:rFonts w:ascii="Arial" w:eastAsia="Times New Roman" w:hAnsi="Arial" w:cs="Arial"/>
                <w:sz w:val="28"/>
                <w:szCs w:val="28"/>
              </w:rPr>
              <w:t>The purpose of this policy is to describe what clauses are necessary and steps which must be taken to ensure the security of College information across all IT Services datacentres, offices and comms rooms as well as all “Secure Office” accommodation protected by SALTO Access Control</w:t>
            </w:r>
          </w:p>
        </w:tc>
        <w:tc>
          <w:tcPr>
            <w:tcW w:w="1530" w:type="dxa"/>
          </w:tcPr>
          <w:p w14:paraId="0BB6B159" w14:textId="31998B54" w:rsidR="004A7C13" w:rsidRDefault="004A7C13" w:rsidP="0004497C">
            <w:pPr>
              <w:rPr>
                <w:rFonts w:ascii="Arial" w:eastAsia="Calibri" w:hAnsi="Arial" w:cs="Arial"/>
                <w:bCs/>
                <w:sz w:val="28"/>
                <w:szCs w:val="28"/>
              </w:rPr>
            </w:pPr>
            <w:r>
              <w:rPr>
                <w:rFonts w:ascii="Arial" w:eastAsia="Calibri" w:hAnsi="Arial" w:cs="Arial"/>
                <w:bCs/>
                <w:sz w:val="28"/>
                <w:szCs w:val="28"/>
              </w:rPr>
              <w:t>Revised</w:t>
            </w:r>
          </w:p>
        </w:tc>
        <w:tc>
          <w:tcPr>
            <w:tcW w:w="1959" w:type="dxa"/>
          </w:tcPr>
          <w:p w14:paraId="7ABE4DAA" w14:textId="0F9229A5" w:rsidR="004A7C13" w:rsidRDefault="004A7C13" w:rsidP="0004497C">
            <w:pPr>
              <w:rPr>
                <w:rFonts w:ascii="Arial" w:eastAsia="Calibri" w:hAnsi="Arial" w:cs="Arial"/>
                <w:bCs/>
                <w:sz w:val="28"/>
                <w:szCs w:val="28"/>
              </w:rPr>
            </w:pPr>
            <w:r>
              <w:rPr>
                <w:rFonts w:ascii="Arial" w:eastAsia="Calibri" w:hAnsi="Arial" w:cs="Arial"/>
                <w:bCs/>
                <w:sz w:val="28"/>
                <w:szCs w:val="28"/>
              </w:rPr>
              <w:t>17 November 2026</w:t>
            </w:r>
          </w:p>
        </w:tc>
        <w:tc>
          <w:tcPr>
            <w:tcW w:w="3740" w:type="dxa"/>
          </w:tcPr>
          <w:p w14:paraId="71B664A5" w14:textId="042AC04F" w:rsidR="004A7C13" w:rsidRPr="00DB7161" w:rsidRDefault="004A7C13" w:rsidP="0004497C">
            <w:pPr>
              <w:rPr>
                <w:rFonts w:ascii="Arial" w:eastAsia="Times New Roman" w:hAnsi="Arial" w:cs="Arial"/>
                <w:sz w:val="28"/>
                <w:szCs w:val="28"/>
              </w:rPr>
            </w:pPr>
            <w:r>
              <w:rPr>
                <w:rFonts w:ascii="Arial" w:eastAsia="Times New Roman" w:hAnsi="Arial" w:cs="Arial"/>
                <w:sz w:val="28"/>
                <w:szCs w:val="28"/>
              </w:rPr>
              <w:t>P</w:t>
            </w:r>
            <w:r w:rsidRPr="004A7C13">
              <w:rPr>
                <w:rFonts w:ascii="Arial" w:eastAsia="Times New Roman" w:hAnsi="Arial" w:cs="Arial"/>
                <w:sz w:val="28"/>
                <w:szCs w:val="28"/>
              </w:rPr>
              <w:t>olicy is guidance to explain the need for Secure Accommodation and Information Security regardless of equality category</w:t>
            </w:r>
          </w:p>
        </w:tc>
      </w:tr>
      <w:tr w:rsidR="00C834DE" w:rsidRPr="00621732" w14:paraId="783CFCC4" w14:textId="77777777" w:rsidTr="00801046">
        <w:tc>
          <w:tcPr>
            <w:tcW w:w="2689" w:type="dxa"/>
          </w:tcPr>
          <w:p w14:paraId="7B02A5D6" w14:textId="77777777" w:rsidR="004A7C13" w:rsidRPr="004A7C13" w:rsidRDefault="004A7C13" w:rsidP="004A7C13">
            <w:pPr>
              <w:rPr>
                <w:rFonts w:ascii="Arial" w:eastAsia="Calibri" w:hAnsi="Arial" w:cs="Arial"/>
                <w:bCs/>
                <w:sz w:val="28"/>
                <w:szCs w:val="28"/>
              </w:rPr>
            </w:pPr>
            <w:r w:rsidRPr="004A7C13">
              <w:rPr>
                <w:rFonts w:ascii="Arial" w:eastAsia="Calibri" w:hAnsi="Arial" w:cs="Arial"/>
                <w:bCs/>
                <w:sz w:val="28"/>
                <w:szCs w:val="28"/>
              </w:rPr>
              <w:lastRenderedPageBreak/>
              <w:t>Code of Practice, IT Services, MIS &amp; Library Personnel</w:t>
            </w:r>
          </w:p>
          <w:p w14:paraId="6D68435F" w14:textId="77777777" w:rsidR="00C834DE" w:rsidRDefault="00C834DE" w:rsidP="00801046">
            <w:pPr>
              <w:rPr>
                <w:rFonts w:ascii="Arial" w:eastAsia="Calibri" w:hAnsi="Arial" w:cs="Arial"/>
                <w:sz w:val="28"/>
                <w:szCs w:val="28"/>
              </w:rPr>
            </w:pPr>
          </w:p>
        </w:tc>
        <w:tc>
          <w:tcPr>
            <w:tcW w:w="5583" w:type="dxa"/>
          </w:tcPr>
          <w:p w14:paraId="7D4C3925" w14:textId="77777777" w:rsidR="004A7C13" w:rsidRPr="004A7C13" w:rsidRDefault="004A7C13" w:rsidP="004A7C13">
            <w:pPr>
              <w:rPr>
                <w:rFonts w:ascii="Arial" w:eastAsia="Times New Roman" w:hAnsi="Arial" w:cs="Arial"/>
                <w:sz w:val="28"/>
                <w:szCs w:val="28"/>
              </w:rPr>
            </w:pPr>
            <w:r w:rsidRPr="004A7C13">
              <w:rPr>
                <w:rFonts w:ascii="Arial" w:eastAsia="Times New Roman" w:hAnsi="Arial" w:cs="Arial"/>
                <w:sz w:val="28"/>
                <w:szCs w:val="28"/>
              </w:rPr>
              <w:t>The purpose of this code is to ensure that the rights of staff (teaching and support) and students are protected.  The document defines the processes that may be undertaken in terms of monitoring the usage of all computer systems owned or operated by the College</w:t>
            </w:r>
          </w:p>
          <w:p w14:paraId="53ED7D4F" w14:textId="77777777" w:rsidR="00C834DE" w:rsidRPr="00DB7161" w:rsidRDefault="00C834DE" w:rsidP="005207AA">
            <w:pPr>
              <w:rPr>
                <w:rFonts w:ascii="Arial" w:eastAsia="Times New Roman" w:hAnsi="Arial" w:cs="Arial"/>
                <w:sz w:val="28"/>
                <w:szCs w:val="28"/>
              </w:rPr>
            </w:pPr>
          </w:p>
        </w:tc>
        <w:tc>
          <w:tcPr>
            <w:tcW w:w="1530" w:type="dxa"/>
          </w:tcPr>
          <w:p w14:paraId="58ED2BD2" w14:textId="0AE83763" w:rsidR="00C834DE" w:rsidRDefault="004A7C13" w:rsidP="00801046">
            <w:pPr>
              <w:rPr>
                <w:rFonts w:ascii="Arial" w:eastAsia="Calibri" w:hAnsi="Arial" w:cs="Arial"/>
                <w:bCs/>
                <w:sz w:val="28"/>
                <w:szCs w:val="28"/>
              </w:rPr>
            </w:pPr>
            <w:r>
              <w:rPr>
                <w:rFonts w:ascii="Arial" w:eastAsia="Calibri" w:hAnsi="Arial" w:cs="Arial"/>
                <w:bCs/>
                <w:sz w:val="28"/>
                <w:szCs w:val="28"/>
              </w:rPr>
              <w:t>Revised</w:t>
            </w:r>
          </w:p>
        </w:tc>
        <w:tc>
          <w:tcPr>
            <w:tcW w:w="1959" w:type="dxa"/>
          </w:tcPr>
          <w:p w14:paraId="1DB6F540" w14:textId="1D9CAA3A" w:rsidR="00C834DE" w:rsidRDefault="004A7C13" w:rsidP="00801046">
            <w:pPr>
              <w:rPr>
                <w:rFonts w:ascii="Arial" w:eastAsia="Calibri" w:hAnsi="Arial" w:cs="Arial"/>
                <w:bCs/>
                <w:sz w:val="28"/>
                <w:szCs w:val="28"/>
              </w:rPr>
            </w:pPr>
            <w:r>
              <w:rPr>
                <w:rFonts w:ascii="Arial" w:eastAsia="Calibri" w:hAnsi="Arial" w:cs="Arial"/>
                <w:bCs/>
                <w:sz w:val="28"/>
                <w:szCs w:val="28"/>
              </w:rPr>
              <w:t>18 November 2025</w:t>
            </w:r>
          </w:p>
        </w:tc>
        <w:tc>
          <w:tcPr>
            <w:tcW w:w="3740" w:type="dxa"/>
          </w:tcPr>
          <w:p w14:paraId="0EEB698D" w14:textId="5E8D572B" w:rsidR="00C834DE" w:rsidRPr="00DB7161" w:rsidRDefault="004A7C13" w:rsidP="00801046">
            <w:pPr>
              <w:rPr>
                <w:rFonts w:ascii="Arial" w:eastAsia="Times New Roman" w:hAnsi="Arial" w:cs="Arial"/>
                <w:sz w:val="28"/>
                <w:szCs w:val="28"/>
              </w:rPr>
            </w:pPr>
            <w:r w:rsidRPr="004A7C13">
              <w:rPr>
                <w:rFonts w:ascii="Arial" w:eastAsia="Times New Roman" w:hAnsi="Arial" w:cs="Arial"/>
                <w:sz w:val="28"/>
                <w:szCs w:val="28"/>
              </w:rPr>
              <w:t>No negative impact on all nine equality categories</w:t>
            </w:r>
          </w:p>
        </w:tc>
      </w:tr>
      <w:tr w:rsidR="00C834DE" w:rsidRPr="00621732" w14:paraId="4BBDE005" w14:textId="77777777" w:rsidTr="00801046">
        <w:tc>
          <w:tcPr>
            <w:tcW w:w="2689" w:type="dxa"/>
          </w:tcPr>
          <w:p w14:paraId="18872064" w14:textId="11C9DBAA" w:rsidR="00C834DE" w:rsidRPr="00DB7161" w:rsidRDefault="00C834DE" w:rsidP="00801046">
            <w:pPr>
              <w:rPr>
                <w:rFonts w:ascii="Arial" w:eastAsia="Calibri" w:hAnsi="Arial" w:cs="Arial"/>
                <w:sz w:val="28"/>
                <w:szCs w:val="28"/>
              </w:rPr>
            </w:pPr>
            <w:r>
              <w:rPr>
                <w:rFonts w:ascii="Arial" w:eastAsia="Calibri" w:hAnsi="Arial" w:cs="Arial"/>
                <w:sz w:val="28"/>
                <w:szCs w:val="28"/>
              </w:rPr>
              <w:t>Health and Safety Policy</w:t>
            </w:r>
          </w:p>
        </w:tc>
        <w:tc>
          <w:tcPr>
            <w:tcW w:w="5583" w:type="dxa"/>
          </w:tcPr>
          <w:p w14:paraId="444F3B22" w14:textId="77777777" w:rsidR="00C834DE" w:rsidRPr="00C834DE" w:rsidRDefault="00C834DE" w:rsidP="00C834DE">
            <w:pPr>
              <w:rPr>
                <w:rFonts w:ascii="Arial" w:eastAsia="Times New Roman" w:hAnsi="Arial" w:cs="Arial"/>
                <w:sz w:val="28"/>
                <w:szCs w:val="28"/>
              </w:rPr>
            </w:pPr>
            <w:r w:rsidRPr="00C834DE">
              <w:rPr>
                <w:rFonts w:ascii="Arial" w:eastAsia="Times New Roman" w:hAnsi="Arial" w:cs="Arial"/>
                <w:sz w:val="28"/>
                <w:szCs w:val="28"/>
              </w:rPr>
              <w:t>Present the College’s commitment to a healthy and safe working</w:t>
            </w:r>
          </w:p>
          <w:p w14:paraId="2E9C508F" w14:textId="77777777" w:rsidR="00C834DE" w:rsidRPr="00C834DE" w:rsidRDefault="00C834DE" w:rsidP="00C834DE">
            <w:pPr>
              <w:rPr>
                <w:rFonts w:ascii="Arial" w:eastAsia="Times New Roman" w:hAnsi="Arial" w:cs="Arial"/>
                <w:sz w:val="28"/>
                <w:szCs w:val="28"/>
              </w:rPr>
            </w:pPr>
            <w:r w:rsidRPr="00C834DE">
              <w:rPr>
                <w:rFonts w:ascii="Arial" w:eastAsia="Times New Roman" w:hAnsi="Arial" w:cs="Arial"/>
                <w:sz w:val="28"/>
                <w:szCs w:val="28"/>
              </w:rPr>
              <w:t>environment and to comply with relevant legislation.</w:t>
            </w:r>
          </w:p>
          <w:p w14:paraId="12F26875" w14:textId="77777777" w:rsidR="00C834DE" w:rsidRPr="00DB7161" w:rsidRDefault="00C834DE" w:rsidP="005207AA">
            <w:pPr>
              <w:rPr>
                <w:rFonts w:ascii="Arial" w:eastAsia="Times New Roman" w:hAnsi="Arial" w:cs="Arial"/>
                <w:sz w:val="28"/>
                <w:szCs w:val="28"/>
              </w:rPr>
            </w:pPr>
          </w:p>
        </w:tc>
        <w:tc>
          <w:tcPr>
            <w:tcW w:w="1530" w:type="dxa"/>
          </w:tcPr>
          <w:p w14:paraId="789E18F5" w14:textId="2355AA54" w:rsidR="00C834DE" w:rsidRDefault="00C834DE" w:rsidP="00801046">
            <w:pPr>
              <w:rPr>
                <w:rFonts w:ascii="Arial" w:eastAsia="Calibri" w:hAnsi="Arial" w:cs="Arial"/>
                <w:bCs/>
                <w:sz w:val="28"/>
                <w:szCs w:val="28"/>
              </w:rPr>
            </w:pPr>
            <w:r>
              <w:rPr>
                <w:rFonts w:ascii="Arial" w:eastAsia="Calibri" w:hAnsi="Arial" w:cs="Arial"/>
                <w:bCs/>
                <w:sz w:val="28"/>
                <w:szCs w:val="28"/>
              </w:rPr>
              <w:t>Revised</w:t>
            </w:r>
          </w:p>
        </w:tc>
        <w:tc>
          <w:tcPr>
            <w:tcW w:w="1959" w:type="dxa"/>
          </w:tcPr>
          <w:p w14:paraId="643061A4" w14:textId="00052E0E" w:rsidR="00C834DE" w:rsidRDefault="00C834DE" w:rsidP="00801046">
            <w:pPr>
              <w:rPr>
                <w:rFonts w:ascii="Arial" w:eastAsia="Calibri" w:hAnsi="Arial" w:cs="Arial"/>
                <w:bCs/>
                <w:sz w:val="28"/>
                <w:szCs w:val="28"/>
              </w:rPr>
            </w:pPr>
            <w:r>
              <w:rPr>
                <w:rFonts w:ascii="Arial" w:eastAsia="Calibri" w:hAnsi="Arial" w:cs="Arial"/>
                <w:bCs/>
                <w:sz w:val="28"/>
                <w:szCs w:val="28"/>
              </w:rPr>
              <w:t>9 December 2025</w:t>
            </w:r>
          </w:p>
        </w:tc>
        <w:tc>
          <w:tcPr>
            <w:tcW w:w="3740" w:type="dxa"/>
          </w:tcPr>
          <w:p w14:paraId="2F1ECD7C" w14:textId="08757002" w:rsidR="00C834DE" w:rsidRPr="00DB7161" w:rsidRDefault="00C834DE" w:rsidP="00801046">
            <w:pPr>
              <w:rPr>
                <w:rFonts w:ascii="Arial" w:eastAsia="Times New Roman" w:hAnsi="Arial" w:cs="Arial"/>
                <w:sz w:val="28"/>
                <w:szCs w:val="28"/>
              </w:rPr>
            </w:pPr>
            <w:r w:rsidRPr="00C834DE">
              <w:rPr>
                <w:rFonts w:ascii="Arial" w:eastAsia="Times New Roman" w:hAnsi="Arial" w:cs="Arial"/>
                <w:sz w:val="28"/>
                <w:szCs w:val="28"/>
              </w:rPr>
              <w:t>No impact on any of the Section 75 equality categories</w:t>
            </w:r>
          </w:p>
        </w:tc>
      </w:tr>
      <w:tr w:rsidR="005B11D8" w:rsidRPr="00621732" w14:paraId="42A37450" w14:textId="77777777" w:rsidTr="00801046">
        <w:tc>
          <w:tcPr>
            <w:tcW w:w="2689" w:type="dxa"/>
          </w:tcPr>
          <w:p w14:paraId="3CBDC51D" w14:textId="647CE3A5" w:rsidR="005B11D8" w:rsidRDefault="005B11D8" w:rsidP="00801046">
            <w:pPr>
              <w:rPr>
                <w:rFonts w:ascii="Arial" w:eastAsia="Calibri" w:hAnsi="Arial" w:cs="Arial"/>
                <w:sz w:val="28"/>
                <w:szCs w:val="28"/>
              </w:rPr>
            </w:pPr>
            <w:r>
              <w:rPr>
                <w:rFonts w:ascii="Arial" w:eastAsia="Calibri" w:hAnsi="Arial" w:cs="Arial"/>
                <w:sz w:val="28"/>
                <w:szCs w:val="28"/>
              </w:rPr>
              <w:t>ICT Acceptable Use Policy</w:t>
            </w:r>
          </w:p>
        </w:tc>
        <w:tc>
          <w:tcPr>
            <w:tcW w:w="5583" w:type="dxa"/>
          </w:tcPr>
          <w:p w14:paraId="573FC6AC" w14:textId="0519F1C7" w:rsidR="005B11D8" w:rsidRPr="00C834DE" w:rsidRDefault="005B11D8" w:rsidP="00C834DE">
            <w:pPr>
              <w:rPr>
                <w:rFonts w:ascii="Arial" w:eastAsia="Times New Roman" w:hAnsi="Arial" w:cs="Arial"/>
                <w:sz w:val="28"/>
                <w:szCs w:val="28"/>
              </w:rPr>
            </w:pPr>
            <w:r w:rsidRPr="005B11D8">
              <w:rPr>
                <w:rFonts w:ascii="Arial" w:eastAsia="Times New Roman" w:hAnsi="Arial" w:cs="Arial"/>
                <w:sz w:val="28"/>
                <w:szCs w:val="28"/>
              </w:rPr>
              <w:t>This policy is aimed at protecting the North West Regional College's employees, partners, students and the College itself from illegal or damaging actions by individuals, either knowingly or unknowingly</w:t>
            </w:r>
          </w:p>
        </w:tc>
        <w:tc>
          <w:tcPr>
            <w:tcW w:w="1530" w:type="dxa"/>
          </w:tcPr>
          <w:p w14:paraId="44B585DB" w14:textId="310840B0" w:rsidR="005B11D8" w:rsidRDefault="005B11D8" w:rsidP="00801046">
            <w:pPr>
              <w:rPr>
                <w:rFonts w:ascii="Arial" w:eastAsia="Calibri" w:hAnsi="Arial" w:cs="Arial"/>
                <w:bCs/>
                <w:sz w:val="28"/>
                <w:szCs w:val="28"/>
              </w:rPr>
            </w:pPr>
            <w:r>
              <w:rPr>
                <w:rFonts w:ascii="Arial" w:eastAsia="Calibri" w:hAnsi="Arial" w:cs="Arial"/>
                <w:bCs/>
                <w:sz w:val="28"/>
                <w:szCs w:val="28"/>
              </w:rPr>
              <w:t>Existing</w:t>
            </w:r>
          </w:p>
        </w:tc>
        <w:tc>
          <w:tcPr>
            <w:tcW w:w="1959" w:type="dxa"/>
          </w:tcPr>
          <w:p w14:paraId="02DD0671" w14:textId="2754ED9C" w:rsidR="005B11D8" w:rsidRDefault="005B11D8" w:rsidP="00801046">
            <w:pPr>
              <w:rPr>
                <w:rFonts w:ascii="Arial" w:eastAsia="Calibri" w:hAnsi="Arial" w:cs="Arial"/>
                <w:bCs/>
                <w:sz w:val="28"/>
                <w:szCs w:val="28"/>
              </w:rPr>
            </w:pPr>
            <w:r>
              <w:rPr>
                <w:rFonts w:ascii="Arial" w:eastAsia="Calibri" w:hAnsi="Arial" w:cs="Arial"/>
                <w:bCs/>
                <w:sz w:val="28"/>
                <w:szCs w:val="28"/>
              </w:rPr>
              <w:t>16 December 2025</w:t>
            </w:r>
          </w:p>
        </w:tc>
        <w:tc>
          <w:tcPr>
            <w:tcW w:w="3740" w:type="dxa"/>
          </w:tcPr>
          <w:p w14:paraId="744CD565" w14:textId="3F83D66E" w:rsidR="005B11D8" w:rsidRPr="00C834DE" w:rsidRDefault="005B11D8" w:rsidP="00801046">
            <w:pPr>
              <w:rPr>
                <w:rFonts w:ascii="Arial" w:eastAsia="Times New Roman" w:hAnsi="Arial" w:cs="Arial"/>
                <w:sz w:val="28"/>
                <w:szCs w:val="28"/>
              </w:rPr>
            </w:pPr>
            <w:r>
              <w:rPr>
                <w:rFonts w:ascii="Arial" w:eastAsia="Times New Roman" w:hAnsi="Arial" w:cs="Arial"/>
                <w:sz w:val="28"/>
                <w:szCs w:val="28"/>
              </w:rPr>
              <w:t>The</w:t>
            </w:r>
            <w:r w:rsidRPr="005B11D8">
              <w:rPr>
                <w:rFonts w:ascii="Arial" w:eastAsia="Times New Roman" w:hAnsi="Arial" w:cs="Arial"/>
                <w:sz w:val="28"/>
                <w:szCs w:val="28"/>
              </w:rPr>
              <w:t xml:space="preserve"> objective of this policy is to maximise the benefits of the North West Regional College’s computer resources and minimise potential liability.  All staff and students need to adhere to this policy regardless of any of the equality categories</w:t>
            </w:r>
          </w:p>
        </w:tc>
      </w:tr>
    </w:tbl>
    <w:p w14:paraId="25AAEA4E" w14:textId="77777777" w:rsidR="00AD14CB" w:rsidRDefault="00AD14CB"/>
    <w:sectPr w:rsidR="00AD14CB" w:rsidSect="00621732">
      <w:footerReference w:type="even" r:id="rId7"/>
      <w:footerReference w:type="default" r:id="rId8"/>
      <w:footerReference w:type="firs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71C35" w14:textId="77777777" w:rsidR="00586C89" w:rsidRDefault="00586C89" w:rsidP="00586C89">
      <w:pPr>
        <w:spacing w:after="0" w:line="240" w:lineRule="auto"/>
      </w:pPr>
      <w:r>
        <w:separator/>
      </w:r>
    </w:p>
  </w:endnote>
  <w:endnote w:type="continuationSeparator" w:id="0">
    <w:p w14:paraId="6308EF83" w14:textId="77777777" w:rsidR="00586C89" w:rsidRDefault="00586C89" w:rsidP="00586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51E3" w14:textId="5C50D2D1" w:rsidR="00586C89" w:rsidRDefault="00586C89">
    <w:pPr>
      <w:pStyle w:val="Footer"/>
    </w:pPr>
    <w:r>
      <w:rPr>
        <w:noProof/>
      </w:rPr>
      <mc:AlternateContent>
        <mc:Choice Requires="wps">
          <w:drawing>
            <wp:anchor distT="0" distB="0" distL="0" distR="0" simplePos="0" relativeHeight="251659264" behindDoc="0" locked="0" layoutInCell="1" allowOverlap="1" wp14:anchorId="23B473AB" wp14:editId="0C32E80F">
              <wp:simplePos x="635" y="635"/>
              <wp:positionH relativeFrom="page">
                <wp:align>left</wp:align>
              </wp:positionH>
              <wp:positionV relativeFrom="page">
                <wp:align>bottom</wp:align>
              </wp:positionV>
              <wp:extent cx="443865" cy="443865"/>
              <wp:effectExtent l="0" t="0" r="5080" b="0"/>
              <wp:wrapNone/>
              <wp:docPr id="2" name="Text Box 2"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B473AB" id="_x0000_t202" coordsize="21600,21600" o:spt="202" path="m,l,21600r21600,l21600,xe">
              <v:stroke joinstyle="miter"/>
              <v:path gradientshapeok="t" o:connecttype="rect"/>
            </v:shapetype>
            <v:shape id="Text Box 2" o:spid="_x0000_s1026" type="#_x0000_t202" alt="[OFFICIAL] - Please treat this information as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8E7E2C0" w14:textId="22F2C162"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150A" w14:textId="69853F5C" w:rsidR="00586C89" w:rsidRDefault="00586C89">
    <w:pPr>
      <w:pStyle w:val="Footer"/>
    </w:pPr>
    <w:r>
      <w:rPr>
        <w:noProof/>
      </w:rPr>
      <mc:AlternateContent>
        <mc:Choice Requires="wps">
          <w:drawing>
            <wp:anchor distT="0" distB="0" distL="0" distR="0" simplePos="0" relativeHeight="251660288" behindDoc="0" locked="0" layoutInCell="1" allowOverlap="1" wp14:anchorId="37DCACDA" wp14:editId="1C892B0E">
              <wp:simplePos x="457200" y="6943725"/>
              <wp:positionH relativeFrom="page">
                <wp:align>left</wp:align>
              </wp:positionH>
              <wp:positionV relativeFrom="page">
                <wp:align>bottom</wp:align>
              </wp:positionV>
              <wp:extent cx="443865" cy="443865"/>
              <wp:effectExtent l="0" t="0" r="5080" b="0"/>
              <wp:wrapNone/>
              <wp:docPr id="3" name="Text Box 3"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DCACDA" id="_x0000_t202" coordsize="21600,21600" o:spt="202" path="m,l,21600r21600,l21600,xe">
              <v:stroke joinstyle="miter"/>
              <v:path gradientshapeok="t" o:connecttype="rect"/>
            </v:shapetype>
            <v:shape id="Text Box 3" o:spid="_x0000_s1027" type="#_x0000_t202" alt="[OFFICIAL] - Please treat this information as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61E8B56" w14:textId="7CD4236D"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FAB5" w14:textId="779734D6" w:rsidR="00586C89" w:rsidRDefault="00586C89">
    <w:pPr>
      <w:pStyle w:val="Footer"/>
    </w:pPr>
    <w:r>
      <w:rPr>
        <w:noProof/>
      </w:rPr>
      <mc:AlternateContent>
        <mc:Choice Requires="wps">
          <w:drawing>
            <wp:anchor distT="0" distB="0" distL="0" distR="0" simplePos="0" relativeHeight="251658240" behindDoc="0" locked="0" layoutInCell="1" allowOverlap="1" wp14:anchorId="7ED2DBE7" wp14:editId="2C146891">
              <wp:simplePos x="635" y="635"/>
              <wp:positionH relativeFrom="page">
                <wp:align>left</wp:align>
              </wp:positionH>
              <wp:positionV relativeFrom="page">
                <wp:align>bottom</wp:align>
              </wp:positionV>
              <wp:extent cx="443865" cy="443865"/>
              <wp:effectExtent l="0" t="0" r="5080" b="0"/>
              <wp:wrapNone/>
              <wp:docPr id="1" name="Text Box 1"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D2DBE7" id="_x0000_t202" coordsize="21600,21600" o:spt="202" path="m,l,21600r21600,l21600,xe">
              <v:stroke joinstyle="miter"/>
              <v:path gradientshapeok="t" o:connecttype="rect"/>
            </v:shapetype>
            <v:shape id="Text Box 1" o:spid="_x0000_s1028" type="#_x0000_t202" alt="[OFFICIAL] - Please treat this information as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BF64FC2" w14:textId="235E9068" w:rsidR="00586C89" w:rsidRPr="00586C89" w:rsidRDefault="00586C89" w:rsidP="00586C89">
                    <w:pPr>
                      <w:spacing w:after="0"/>
                      <w:rPr>
                        <w:rFonts w:ascii="Calibri" w:eastAsia="Calibri" w:hAnsi="Calibri" w:cs="Calibri"/>
                        <w:noProof/>
                        <w:color w:val="000000"/>
                        <w:sz w:val="24"/>
                        <w:szCs w:val="24"/>
                      </w:rPr>
                    </w:pPr>
                    <w:r w:rsidRPr="00586C89">
                      <w:rPr>
                        <w:rFonts w:ascii="Calibri" w:eastAsia="Calibri" w:hAnsi="Calibri" w:cs="Calibri"/>
                        <w:noProof/>
                        <w:color w:val="000000"/>
                        <w:sz w:val="24"/>
                        <w:szCs w:val="24"/>
                      </w:rPr>
                      <w:t>[OFFICIAL] - Please treat this information as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E46B1" w14:textId="77777777" w:rsidR="00586C89" w:rsidRDefault="00586C89" w:rsidP="00586C89">
      <w:pPr>
        <w:spacing w:after="0" w:line="240" w:lineRule="auto"/>
      </w:pPr>
      <w:r>
        <w:separator/>
      </w:r>
    </w:p>
  </w:footnote>
  <w:footnote w:type="continuationSeparator" w:id="0">
    <w:p w14:paraId="35C427FB" w14:textId="77777777" w:rsidR="00586C89" w:rsidRDefault="00586C89" w:rsidP="00586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3039"/>
    <w:multiLevelType w:val="hybridMultilevel"/>
    <w:tmpl w:val="806E6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2922C5"/>
    <w:multiLevelType w:val="hybridMultilevel"/>
    <w:tmpl w:val="1C647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E26B6"/>
    <w:multiLevelType w:val="hybridMultilevel"/>
    <w:tmpl w:val="4EA455CC"/>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20A315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84C9B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57EEBA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022C39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5F0E44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FA63E2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07AC2A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7DA203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B91CBD"/>
    <w:multiLevelType w:val="multilevel"/>
    <w:tmpl w:val="87CC1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F6557C"/>
    <w:multiLevelType w:val="hybridMultilevel"/>
    <w:tmpl w:val="5DAAAF6E"/>
    <w:lvl w:ilvl="0" w:tplc="08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124CDE"/>
    <w:multiLevelType w:val="hybridMultilevel"/>
    <w:tmpl w:val="627A6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0A7809"/>
    <w:multiLevelType w:val="hybridMultilevel"/>
    <w:tmpl w:val="E946EAE0"/>
    <w:lvl w:ilvl="0" w:tplc="34D66D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E5F5C"/>
    <w:multiLevelType w:val="hybridMultilevel"/>
    <w:tmpl w:val="97BE03AA"/>
    <w:lvl w:ilvl="0" w:tplc="F4309464">
      <w:start w:val="1"/>
      <w:numFmt w:val="decimal"/>
      <w:lvlText w:val="%1."/>
      <w:lvlJc w:val="left"/>
      <w:pPr>
        <w:ind w:left="772" w:hanging="312"/>
      </w:pPr>
      <w:rPr>
        <w:rFonts w:ascii="Arial" w:eastAsia="Calibri Light" w:hAnsi="Arial" w:cs="Arial" w:hint="default"/>
        <w:b/>
        <w:bCs/>
        <w:i w:val="0"/>
        <w:iCs w:val="0"/>
        <w:color w:val="auto"/>
        <w:spacing w:val="-1"/>
        <w:w w:val="99"/>
        <w:sz w:val="24"/>
        <w:szCs w:val="24"/>
        <w:lang w:val="en-GB" w:eastAsia="en-US" w:bidi="ar-SA"/>
      </w:rPr>
    </w:lvl>
    <w:lvl w:ilvl="1" w:tplc="BCDA65F0">
      <w:numFmt w:val="bullet"/>
      <w:lvlText w:val=""/>
      <w:lvlJc w:val="left"/>
      <w:pPr>
        <w:ind w:left="1180" w:hanging="360"/>
      </w:pPr>
      <w:rPr>
        <w:rFonts w:ascii="Symbol" w:eastAsia="Symbol" w:hAnsi="Symbol" w:cs="Symbol" w:hint="default"/>
        <w:b w:val="0"/>
        <w:bCs w:val="0"/>
        <w:i w:val="0"/>
        <w:iCs w:val="0"/>
        <w:w w:val="100"/>
        <w:sz w:val="24"/>
        <w:szCs w:val="24"/>
        <w:lang w:val="en-GB" w:eastAsia="en-US" w:bidi="ar-SA"/>
      </w:rPr>
    </w:lvl>
    <w:lvl w:ilvl="2" w:tplc="1F86CB7A">
      <w:numFmt w:val="bullet"/>
      <w:lvlText w:val="•"/>
      <w:lvlJc w:val="left"/>
      <w:pPr>
        <w:ind w:left="2116" w:hanging="360"/>
      </w:pPr>
      <w:rPr>
        <w:rFonts w:hint="default"/>
        <w:lang w:val="en-GB" w:eastAsia="en-US" w:bidi="ar-SA"/>
      </w:rPr>
    </w:lvl>
    <w:lvl w:ilvl="3" w:tplc="A9E654D4">
      <w:numFmt w:val="bullet"/>
      <w:lvlText w:val="•"/>
      <w:lvlJc w:val="left"/>
      <w:pPr>
        <w:ind w:left="3052" w:hanging="360"/>
      </w:pPr>
      <w:rPr>
        <w:rFonts w:hint="default"/>
        <w:lang w:val="en-GB" w:eastAsia="en-US" w:bidi="ar-SA"/>
      </w:rPr>
    </w:lvl>
    <w:lvl w:ilvl="4" w:tplc="B33A3216">
      <w:numFmt w:val="bullet"/>
      <w:lvlText w:val="•"/>
      <w:lvlJc w:val="left"/>
      <w:pPr>
        <w:ind w:left="3988" w:hanging="360"/>
      </w:pPr>
      <w:rPr>
        <w:rFonts w:hint="default"/>
        <w:lang w:val="en-GB" w:eastAsia="en-US" w:bidi="ar-SA"/>
      </w:rPr>
    </w:lvl>
    <w:lvl w:ilvl="5" w:tplc="CE54FA18">
      <w:numFmt w:val="bullet"/>
      <w:lvlText w:val="•"/>
      <w:lvlJc w:val="left"/>
      <w:pPr>
        <w:ind w:left="4925" w:hanging="360"/>
      </w:pPr>
      <w:rPr>
        <w:rFonts w:hint="default"/>
        <w:lang w:val="en-GB" w:eastAsia="en-US" w:bidi="ar-SA"/>
      </w:rPr>
    </w:lvl>
    <w:lvl w:ilvl="6" w:tplc="2D7A05C4">
      <w:numFmt w:val="bullet"/>
      <w:lvlText w:val="•"/>
      <w:lvlJc w:val="left"/>
      <w:pPr>
        <w:ind w:left="5861" w:hanging="360"/>
      </w:pPr>
      <w:rPr>
        <w:rFonts w:hint="default"/>
        <w:lang w:val="en-GB" w:eastAsia="en-US" w:bidi="ar-SA"/>
      </w:rPr>
    </w:lvl>
    <w:lvl w:ilvl="7" w:tplc="B316D836">
      <w:numFmt w:val="bullet"/>
      <w:lvlText w:val="•"/>
      <w:lvlJc w:val="left"/>
      <w:pPr>
        <w:ind w:left="6797" w:hanging="360"/>
      </w:pPr>
      <w:rPr>
        <w:rFonts w:hint="default"/>
        <w:lang w:val="en-GB" w:eastAsia="en-US" w:bidi="ar-SA"/>
      </w:rPr>
    </w:lvl>
    <w:lvl w:ilvl="8" w:tplc="1C1A9C4E">
      <w:numFmt w:val="bullet"/>
      <w:lvlText w:val="•"/>
      <w:lvlJc w:val="left"/>
      <w:pPr>
        <w:ind w:left="7733" w:hanging="360"/>
      </w:pPr>
      <w:rPr>
        <w:rFonts w:hint="default"/>
        <w:lang w:val="en-GB" w:eastAsia="en-US" w:bidi="ar-SA"/>
      </w:rPr>
    </w:lvl>
  </w:abstractNum>
  <w:abstractNum w:abstractNumId="8" w15:restartNumberingAfterBreak="0">
    <w:nsid w:val="2C7677A6"/>
    <w:multiLevelType w:val="hybridMultilevel"/>
    <w:tmpl w:val="990AB2CE"/>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9" w15:restartNumberingAfterBreak="0">
    <w:nsid w:val="328973A8"/>
    <w:multiLevelType w:val="hybridMultilevel"/>
    <w:tmpl w:val="6A04A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160BFD"/>
    <w:multiLevelType w:val="hybridMultilevel"/>
    <w:tmpl w:val="3BF0B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3C4D7A"/>
    <w:multiLevelType w:val="hybridMultilevel"/>
    <w:tmpl w:val="2FB6C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2D4DCC"/>
    <w:multiLevelType w:val="hybridMultilevel"/>
    <w:tmpl w:val="A050A16C"/>
    <w:lvl w:ilvl="0" w:tplc="59601F12">
      <w:start w:val="1"/>
      <w:numFmt w:val="bullet"/>
      <w:lvlText w:val=""/>
      <w:lvlJc w:val="left"/>
      <w:pPr>
        <w:ind w:left="720" w:hanging="360"/>
      </w:pPr>
      <w:rPr>
        <w:rFonts w:ascii="Symbol" w:hAnsi="Symbol" w:hint="default"/>
      </w:rPr>
    </w:lvl>
    <w:lvl w:ilvl="1" w:tplc="3698E51A">
      <w:start w:val="1"/>
      <w:numFmt w:val="bullet"/>
      <w:lvlText w:val="o"/>
      <w:lvlJc w:val="left"/>
      <w:pPr>
        <w:ind w:left="1440" w:hanging="360"/>
      </w:pPr>
      <w:rPr>
        <w:rFonts w:ascii="Courier New" w:hAnsi="Courier New" w:cs="Times New Roman" w:hint="default"/>
      </w:rPr>
    </w:lvl>
    <w:lvl w:ilvl="2" w:tplc="BE486680">
      <w:start w:val="1"/>
      <w:numFmt w:val="bullet"/>
      <w:lvlText w:val=""/>
      <w:lvlJc w:val="left"/>
      <w:pPr>
        <w:ind w:left="2160" w:hanging="360"/>
      </w:pPr>
      <w:rPr>
        <w:rFonts w:ascii="Wingdings" w:hAnsi="Wingdings" w:hint="default"/>
      </w:rPr>
    </w:lvl>
    <w:lvl w:ilvl="3" w:tplc="9B883F2C">
      <w:start w:val="1"/>
      <w:numFmt w:val="bullet"/>
      <w:lvlText w:val=""/>
      <w:lvlJc w:val="left"/>
      <w:pPr>
        <w:ind w:left="2880" w:hanging="360"/>
      </w:pPr>
      <w:rPr>
        <w:rFonts w:ascii="Symbol" w:hAnsi="Symbol" w:hint="default"/>
      </w:rPr>
    </w:lvl>
    <w:lvl w:ilvl="4" w:tplc="EAE881F6">
      <w:start w:val="1"/>
      <w:numFmt w:val="bullet"/>
      <w:lvlText w:val="o"/>
      <w:lvlJc w:val="left"/>
      <w:pPr>
        <w:ind w:left="3600" w:hanging="360"/>
      </w:pPr>
      <w:rPr>
        <w:rFonts w:ascii="Courier New" w:hAnsi="Courier New" w:cs="Times New Roman" w:hint="default"/>
      </w:rPr>
    </w:lvl>
    <w:lvl w:ilvl="5" w:tplc="34DE859C">
      <w:start w:val="1"/>
      <w:numFmt w:val="bullet"/>
      <w:lvlText w:val=""/>
      <w:lvlJc w:val="left"/>
      <w:pPr>
        <w:ind w:left="4320" w:hanging="360"/>
      </w:pPr>
      <w:rPr>
        <w:rFonts w:ascii="Wingdings" w:hAnsi="Wingdings" w:hint="default"/>
      </w:rPr>
    </w:lvl>
    <w:lvl w:ilvl="6" w:tplc="199CF9B6">
      <w:start w:val="1"/>
      <w:numFmt w:val="bullet"/>
      <w:lvlText w:val=""/>
      <w:lvlJc w:val="left"/>
      <w:pPr>
        <w:ind w:left="5040" w:hanging="360"/>
      </w:pPr>
      <w:rPr>
        <w:rFonts w:ascii="Symbol" w:hAnsi="Symbol" w:hint="default"/>
      </w:rPr>
    </w:lvl>
    <w:lvl w:ilvl="7" w:tplc="632C09C2">
      <w:start w:val="1"/>
      <w:numFmt w:val="bullet"/>
      <w:lvlText w:val="o"/>
      <w:lvlJc w:val="left"/>
      <w:pPr>
        <w:ind w:left="5760" w:hanging="360"/>
      </w:pPr>
      <w:rPr>
        <w:rFonts w:ascii="Courier New" w:hAnsi="Courier New" w:cs="Times New Roman" w:hint="default"/>
      </w:rPr>
    </w:lvl>
    <w:lvl w:ilvl="8" w:tplc="9CF84718">
      <w:start w:val="1"/>
      <w:numFmt w:val="bullet"/>
      <w:lvlText w:val=""/>
      <w:lvlJc w:val="left"/>
      <w:pPr>
        <w:ind w:left="6480" w:hanging="360"/>
      </w:pPr>
      <w:rPr>
        <w:rFonts w:ascii="Wingdings" w:hAnsi="Wingdings" w:hint="default"/>
      </w:rPr>
    </w:lvl>
  </w:abstractNum>
  <w:abstractNum w:abstractNumId="13" w15:restartNumberingAfterBreak="0">
    <w:nsid w:val="57CB45A7"/>
    <w:multiLevelType w:val="hybridMultilevel"/>
    <w:tmpl w:val="AE02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BB7A20"/>
    <w:multiLevelType w:val="hybridMultilevel"/>
    <w:tmpl w:val="00A64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5D3441"/>
    <w:multiLevelType w:val="hybridMultilevel"/>
    <w:tmpl w:val="A8821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1CB5C15"/>
    <w:multiLevelType w:val="hybridMultilevel"/>
    <w:tmpl w:val="DBE22554"/>
    <w:lvl w:ilvl="0" w:tplc="75C219E4">
      <w:numFmt w:val="bullet"/>
      <w:lvlText w:val=""/>
      <w:lvlJc w:val="left"/>
      <w:pPr>
        <w:ind w:left="940" w:hanging="360"/>
      </w:pPr>
      <w:rPr>
        <w:rFonts w:ascii="Symbol" w:eastAsia="Symbol" w:hAnsi="Symbol" w:cs="Symbol" w:hint="default"/>
        <w:b w:val="0"/>
        <w:bCs w:val="0"/>
        <w:i w:val="0"/>
        <w:iCs w:val="0"/>
        <w:w w:val="100"/>
        <w:sz w:val="24"/>
        <w:szCs w:val="24"/>
      </w:rPr>
    </w:lvl>
    <w:lvl w:ilvl="1" w:tplc="B39633CA">
      <w:numFmt w:val="bullet"/>
      <w:lvlText w:val="•"/>
      <w:lvlJc w:val="left"/>
      <w:pPr>
        <w:ind w:left="1846" w:hanging="360"/>
      </w:pPr>
      <w:rPr>
        <w:rFonts w:hint="default"/>
      </w:rPr>
    </w:lvl>
    <w:lvl w:ilvl="2" w:tplc="5044CA76">
      <w:numFmt w:val="bullet"/>
      <w:lvlText w:val="•"/>
      <w:lvlJc w:val="left"/>
      <w:pPr>
        <w:ind w:left="2753" w:hanging="360"/>
      </w:pPr>
      <w:rPr>
        <w:rFonts w:hint="default"/>
      </w:rPr>
    </w:lvl>
    <w:lvl w:ilvl="3" w:tplc="A4AE10DC">
      <w:numFmt w:val="bullet"/>
      <w:lvlText w:val="•"/>
      <w:lvlJc w:val="left"/>
      <w:pPr>
        <w:ind w:left="3659" w:hanging="360"/>
      </w:pPr>
      <w:rPr>
        <w:rFonts w:hint="default"/>
      </w:rPr>
    </w:lvl>
    <w:lvl w:ilvl="4" w:tplc="1BE6B240">
      <w:numFmt w:val="bullet"/>
      <w:lvlText w:val="•"/>
      <w:lvlJc w:val="left"/>
      <w:pPr>
        <w:ind w:left="4566" w:hanging="360"/>
      </w:pPr>
      <w:rPr>
        <w:rFonts w:hint="default"/>
      </w:rPr>
    </w:lvl>
    <w:lvl w:ilvl="5" w:tplc="D37EFF18">
      <w:numFmt w:val="bullet"/>
      <w:lvlText w:val="•"/>
      <w:lvlJc w:val="left"/>
      <w:pPr>
        <w:ind w:left="5473" w:hanging="360"/>
      </w:pPr>
      <w:rPr>
        <w:rFonts w:hint="default"/>
      </w:rPr>
    </w:lvl>
    <w:lvl w:ilvl="6" w:tplc="E7240612">
      <w:numFmt w:val="bullet"/>
      <w:lvlText w:val="•"/>
      <w:lvlJc w:val="left"/>
      <w:pPr>
        <w:ind w:left="6379" w:hanging="360"/>
      </w:pPr>
      <w:rPr>
        <w:rFonts w:hint="default"/>
      </w:rPr>
    </w:lvl>
    <w:lvl w:ilvl="7" w:tplc="60A27C0C">
      <w:numFmt w:val="bullet"/>
      <w:lvlText w:val="•"/>
      <w:lvlJc w:val="left"/>
      <w:pPr>
        <w:ind w:left="7286" w:hanging="360"/>
      </w:pPr>
      <w:rPr>
        <w:rFonts w:hint="default"/>
      </w:rPr>
    </w:lvl>
    <w:lvl w:ilvl="8" w:tplc="35B82F04">
      <w:numFmt w:val="bullet"/>
      <w:lvlText w:val="•"/>
      <w:lvlJc w:val="left"/>
      <w:pPr>
        <w:ind w:left="8193" w:hanging="360"/>
      </w:pPr>
      <w:rPr>
        <w:rFonts w:hint="default"/>
      </w:rPr>
    </w:lvl>
  </w:abstractNum>
  <w:abstractNum w:abstractNumId="17" w15:restartNumberingAfterBreak="0">
    <w:nsid w:val="73792927"/>
    <w:multiLevelType w:val="hybridMultilevel"/>
    <w:tmpl w:val="03C60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BC333BD"/>
    <w:multiLevelType w:val="hybridMultilevel"/>
    <w:tmpl w:val="472E2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010698"/>
    <w:multiLevelType w:val="hybridMultilevel"/>
    <w:tmpl w:val="6602E1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CBA44A8"/>
    <w:multiLevelType w:val="hybridMultilevel"/>
    <w:tmpl w:val="4F1AEE58"/>
    <w:lvl w:ilvl="0" w:tplc="9E92CA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169759">
    <w:abstractNumId w:val="7"/>
  </w:num>
  <w:num w:numId="2" w16cid:durableId="1628663708">
    <w:abstractNumId w:val="17"/>
  </w:num>
  <w:num w:numId="3" w16cid:durableId="1381634380">
    <w:abstractNumId w:val="9"/>
  </w:num>
  <w:num w:numId="4" w16cid:durableId="729958583">
    <w:abstractNumId w:val="20"/>
  </w:num>
  <w:num w:numId="5" w16cid:durableId="535703523">
    <w:abstractNumId w:val="4"/>
  </w:num>
  <w:num w:numId="6" w16cid:durableId="1760710009">
    <w:abstractNumId w:val="15"/>
  </w:num>
  <w:num w:numId="7" w16cid:durableId="734666585">
    <w:abstractNumId w:val="12"/>
  </w:num>
  <w:num w:numId="8" w16cid:durableId="760026911">
    <w:abstractNumId w:val="6"/>
  </w:num>
  <w:num w:numId="9" w16cid:durableId="1354187529">
    <w:abstractNumId w:val="18"/>
  </w:num>
  <w:num w:numId="10" w16cid:durableId="1735591706">
    <w:abstractNumId w:val="10"/>
  </w:num>
  <w:num w:numId="11" w16cid:durableId="93526285">
    <w:abstractNumId w:val="13"/>
  </w:num>
  <w:num w:numId="12" w16cid:durableId="1956206326">
    <w:abstractNumId w:val="8"/>
  </w:num>
  <w:num w:numId="13" w16cid:durableId="1000544693">
    <w:abstractNumId w:val="14"/>
  </w:num>
  <w:num w:numId="14" w16cid:durableId="450825232">
    <w:abstractNumId w:val="19"/>
  </w:num>
  <w:num w:numId="15" w16cid:durableId="182911188">
    <w:abstractNumId w:val="3"/>
  </w:num>
  <w:num w:numId="16" w16cid:durableId="1488979298">
    <w:abstractNumId w:val="16"/>
  </w:num>
  <w:num w:numId="17" w16cid:durableId="596182517">
    <w:abstractNumId w:val="11"/>
  </w:num>
  <w:num w:numId="18" w16cid:durableId="481973460">
    <w:abstractNumId w:val="1"/>
  </w:num>
  <w:num w:numId="19" w16cid:durableId="1154105411">
    <w:abstractNumId w:val="0"/>
  </w:num>
  <w:num w:numId="20" w16cid:durableId="460928845">
    <w:abstractNumId w:val="2"/>
  </w:num>
  <w:num w:numId="21" w16cid:durableId="419375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32"/>
    <w:rsid w:val="00012F8E"/>
    <w:rsid w:val="00027142"/>
    <w:rsid w:val="000414FD"/>
    <w:rsid w:val="000437CD"/>
    <w:rsid w:val="000551BD"/>
    <w:rsid w:val="0006338B"/>
    <w:rsid w:val="00065B98"/>
    <w:rsid w:val="0008053C"/>
    <w:rsid w:val="00097738"/>
    <w:rsid w:val="000A55E9"/>
    <w:rsid w:val="000B220E"/>
    <w:rsid w:val="000E04AB"/>
    <w:rsid w:val="000E7B62"/>
    <w:rsid w:val="000F708D"/>
    <w:rsid w:val="00122D0E"/>
    <w:rsid w:val="00140B57"/>
    <w:rsid w:val="00141527"/>
    <w:rsid w:val="0015008F"/>
    <w:rsid w:val="00154165"/>
    <w:rsid w:val="001561A2"/>
    <w:rsid w:val="00180FF7"/>
    <w:rsid w:val="00185DF4"/>
    <w:rsid w:val="00195A0B"/>
    <w:rsid w:val="001A352C"/>
    <w:rsid w:val="001C6F2E"/>
    <w:rsid w:val="00216834"/>
    <w:rsid w:val="00232A59"/>
    <w:rsid w:val="00234401"/>
    <w:rsid w:val="00235634"/>
    <w:rsid w:val="00250789"/>
    <w:rsid w:val="0026474A"/>
    <w:rsid w:val="002931BF"/>
    <w:rsid w:val="002E6A38"/>
    <w:rsid w:val="0030207D"/>
    <w:rsid w:val="003212C4"/>
    <w:rsid w:val="00330836"/>
    <w:rsid w:val="00336D00"/>
    <w:rsid w:val="00345D29"/>
    <w:rsid w:val="00353370"/>
    <w:rsid w:val="00362570"/>
    <w:rsid w:val="0038530C"/>
    <w:rsid w:val="00394680"/>
    <w:rsid w:val="003A23E6"/>
    <w:rsid w:val="003B50E2"/>
    <w:rsid w:val="003C3A22"/>
    <w:rsid w:val="003E5A5E"/>
    <w:rsid w:val="003F3BD9"/>
    <w:rsid w:val="00402BED"/>
    <w:rsid w:val="004138BD"/>
    <w:rsid w:val="00453A4C"/>
    <w:rsid w:val="00455850"/>
    <w:rsid w:val="004A4CB6"/>
    <w:rsid w:val="004A710B"/>
    <w:rsid w:val="004A7C13"/>
    <w:rsid w:val="004A7C4D"/>
    <w:rsid w:val="004C4D9D"/>
    <w:rsid w:val="005207AA"/>
    <w:rsid w:val="00524645"/>
    <w:rsid w:val="005266DD"/>
    <w:rsid w:val="0053768D"/>
    <w:rsid w:val="00565A33"/>
    <w:rsid w:val="00584906"/>
    <w:rsid w:val="00586C89"/>
    <w:rsid w:val="005949D2"/>
    <w:rsid w:val="005B11D8"/>
    <w:rsid w:val="005D466C"/>
    <w:rsid w:val="005E0FDF"/>
    <w:rsid w:val="005E53D9"/>
    <w:rsid w:val="005F01FE"/>
    <w:rsid w:val="0061318A"/>
    <w:rsid w:val="00617883"/>
    <w:rsid w:val="00621732"/>
    <w:rsid w:val="00630306"/>
    <w:rsid w:val="006509D7"/>
    <w:rsid w:val="00671BBE"/>
    <w:rsid w:val="006769BA"/>
    <w:rsid w:val="00681122"/>
    <w:rsid w:val="006873CE"/>
    <w:rsid w:val="0069299E"/>
    <w:rsid w:val="006B523C"/>
    <w:rsid w:val="006C6FCE"/>
    <w:rsid w:val="006C719D"/>
    <w:rsid w:val="00701964"/>
    <w:rsid w:val="00713127"/>
    <w:rsid w:val="00720F20"/>
    <w:rsid w:val="00747C37"/>
    <w:rsid w:val="00753EDC"/>
    <w:rsid w:val="007B23E2"/>
    <w:rsid w:val="007B2C07"/>
    <w:rsid w:val="007B2DF5"/>
    <w:rsid w:val="007C7509"/>
    <w:rsid w:val="007D6ADC"/>
    <w:rsid w:val="008166F6"/>
    <w:rsid w:val="00823FD9"/>
    <w:rsid w:val="00842990"/>
    <w:rsid w:val="00843C71"/>
    <w:rsid w:val="0087662E"/>
    <w:rsid w:val="008C3096"/>
    <w:rsid w:val="008D033A"/>
    <w:rsid w:val="008E0D8B"/>
    <w:rsid w:val="008F14E3"/>
    <w:rsid w:val="008F2C10"/>
    <w:rsid w:val="009036F7"/>
    <w:rsid w:val="00945A39"/>
    <w:rsid w:val="0096322C"/>
    <w:rsid w:val="00994BEE"/>
    <w:rsid w:val="009A4676"/>
    <w:rsid w:val="009F6517"/>
    <w:rsid w:val="00A01054"/>
    <w:rsid w:val="00A358AA"/>
    <w:rsid w:val="00A525D2"/>
    <w:rsid w:val="00A548C7"/>
    <w:rsid w:val="00A60F53"/>
    <w:rsid w:val="00A83C3C"/>
    <w:rsid w:val="00A83DB6"/>
    <w:rsid w:val="00A9459D"/>
    <w:rsid w:val="00A9517D"/>
    <w:rsid w:val="00AA3E42"/>
    <w:rsid w:val="00AD14CB"/>
    <w:rsid w:val="00AD302E"/>
    <w:rsid w:val="00AE5CDA"/>
    <w:rsid w:val="00B04D1A"/>
    <w:rsid w:val="00B06730"/>
    <w:rsid w:val="00B143AB"/>
    <w:rsid w:val="00B2572E"/>
    <w:rsid w:val="00B531FA"/>
    <w:rsid w:val="00B814D9"/>
    <w:rsid w:val="00BB6E6D"/>
    <w:rsid w:val="00BC7945"/>
    <w:rsid w:val="00BD1823"/>
    <w:rsid w:val="00BE2939"/>
    <w:rsid w:val="00BE6841"/>
    <w:rsid w:val="00BF1B0C"/>
    <w:rsid w:val="00C03150"/>
    <w:rsid w:val="00C06F62"/>
    <w:rsid w:val="00C12450"/>
    <w:rsid w:val="00C26B19"/>
    <w:rsid w:val="00C435CE"/>
    <w:rsid w:val="00C4711D"/>
    <w:rsid w:val="00C50E9D"/>
    <w:rsid w:val="00C607A8"/>
    <w:rsid w:val="00C631D8"/>
    <w:rsid w:val="00C650B8"/>
    <w:rsid w:val="00C813E7"/>
    <w:rsid w:val="00C834DE"/>
    <w:rsid w:val="00C8381E"/>
    <w:rsid w:val="00C86738"/>
    <w:rsid w:val="00C929D0"/>
    <w:rsid w:val="00C9332A"/>
    <w:rsid w:val="00CA07A5"/>
    <w:rsid w:val="00CC101D"/>
    <w:rsid w:val="00CD4F01"/>
    <w:rsid w:val="00CE6564"/>
    <w:rsid w:val="00CF0DC2"/>
    <w:rsid w:val="00D02DFB"/>
    <w:rsid w:val="00D21E86"/>
    <w:rsid w:val="00D64796"/>
    <w:rsid w:val="00D7191C"/>
    <w:rsid w:val="00D87922"/>
    <w:rsid w:val="00D9751B"/>
    <w:rsid w:val="00DB7161"/>
    <w:rsid w:val="00DE75EE"/>
    <w:rsid w:val="00DF2EA8"/>
    <w:rsid w:val="00E11001"/>
    <w:rsid w:val="00E354A8"/>
    <w:rsid w:val="00E55C2B"/>
    <w:rsid w:val="00E57AA0"/>
    <w:rsid w:val="00E6485A"/>
    <w:rsid w:val="00E73215"/>
    <w:rsid w:val="00E82CE2"/>
    <w:rsid w:val="00E97B99"/>
    <w:rsid w:val="00EA0263"/>
    <w:rsid w:val="00ED542E"/>
    <w:rsid w:val="00F11096"/>
    <w:rsid w:val="00F24F48"/>
    <w:rsid w:val="00F33388"/>
    <w:rsid w:val="00F70CF0"/>
    <w:rsid w:val="00F82C3E"/>
    <w:rsid w:val="00F83A0A"/>
    <w:rsid w:val="00F908E5"/>
    <w:rsid w:val="00FA05E8"/>
    <w:rsid w:val="00FA32EA"/>
    <w:rsid w:val="00FA6BBA"/>
    <w:rsid w:val="00FC135D"/>
    <w:rsid w:val="00FC479B"/>
    <w:rsid w:val="00FF4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F6E1"/>
  <w15:chartTrackingRefBased/>
  <w15:docId w15:val="{CF6925EF-A9C8-47EF-AFBE-F02E1087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621732"/>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6217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586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C89"/>
  </w:style>
  <w:style w:type="paragraph" w:styleId="ListParagraph">
    <w:name w:val="List Paragraph"/>
    <w:basedOn w:val="Normal"/>
    <w:uiPriority w:val="34"/>
    <w:qFormat/>
    <w:rsid w:val="00E97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1156</Words>
  <Characters>6167</Characters>
  <Application>Microsoft Office Word</Application>
  <DocSecurity>0</DocSecurity>
  <Lines>342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Fiona</dc:creator>
  <cp:keywords/>
  <dc:description/>
  <cp:lastModifiedBy>Hamilton, Fiona</cp:lastModifiedBy>
  <cp:revision>6</cp:revision>
  <dcterms:created xsi:type="dcterms:W3CDTF">2026-01-19T16:06:00Z</dcterms:created>
  <dcterms:modified xsi:type="dcterms:W3CDTF">2026-02-04T16:40:00Z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#000000,12,Calibri</vt:lpwstr>
  </property>
  <property fmtid="{D5CDD505-2E9C-101B-9397-08002B2CF9AE}" pid="4" name="ClassificationContentMarkingFooterText">
    <vt:lpwstr>[OFFICIAL] - Please treat this information as Official</vt:lpwstr>
  </property>
  <property fmtid="{D5CDD505-2E9C-101B-9397-08002B2CF9AE}" pid="5" name="MSIP_Label_b40b5f3c-9b1b-4f7d-9339-6974d1767da9_Enabled">
    <vt:lpwstr>true</vt:lpwstr>
  </property>
  <property fmtid="{D5CDD505-2E9C-101B-9397-08002B2CF9AE}" pid="6" name="MSIP_Label_b40b5f3c-9b1b-4f7d-9339-6974d1767da9_SetDate">
    <vt:lpwstr>2023-04-21T09:14:06Z</vt:lpwstr>
  </property>
  <property fmtid="{D5CDD505-2E9C-101B-9397-08002B2CF9AE}" pid="7" name="MSIP_Label_b40b5f3c-9b1b-4f7d-9339-6974d1767da9_Method">
    <vt:lpwstr>Standard</vt:lpwstr>
  </property>
  <property fmtid="{D5CDD505-2E9C-101B-9397-08002B2CF9AE}" pid="8" name="MSIP_Label_b40b5f3c-9b1b-4f7d-9339-6974d1767da9_Name">
    <vt:lpwstr>Official</vt:lpwstr>
  </property>
  <property fmtid="{D5CDD505-2E9C-101B-9397-08002B2CF9AE}" pid="9" name="MSIP_Label_b40b5f3c-9b1b-4f7d-9339-6974d1767da9_SiteId">
    <vt:lpwstr>2c282a6f-a0fc-4596-9ccc-2378f1b4cf1e</vt:lpwstr>
  </property>
  <property fmtid="{D5CDD505-2E9C-101B-9397-08002B2CF9AE}" pid="10" name="MSIP_Label_b40b5f3c-9b1b-4f7d-9339-6974d1767da9_ActionId">
    <vt:lpwstr>2a6edd97-0488-4584-8044-be3a15ebd6f1</vt:lpwstr>
  </property>
  <property fmtid="{D5CDD505-2E9C-101B-9397-08002B2CF9AE}" pid="11" name="MSIP_Label_b40b5f3c-9b1b-4f7d-9339-6974d1767da9_ContentBits">
    <vt:lpwstr>2</vt:lpwstr>
  </property>
</Properties>
</file>