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50DB7" w14:textId="77777777"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NORTH WEST REGIONAL COLLEGE</w:t>
      </w:r>
    </w:p>
    <w:p w14:paraId="174C0564" w14:textId="77777777"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 xml:space="preserve">EQUALITY SCREENING REPORT </w:t>
      </w:r>
    </w:p>
    <w:p w14:paraId="5A7793FC" w14:textId="03028C85" w:rsidR="00621732" w:rsidRPr="00621732" w:rsidRDefault="00621732" w:rsidP="00621732">
      <w:pPr>
        <w:spacing w:after="0" w:line="240" w:lineRule="auto"/>
        <w:rPr>
          <w:rFonts w:ascii="Arial" w:eastAsia="Calibri" w:hAnsi="Arial" w:cs="Arial"/>
          <w:b/>
          <w:kern w:val="0"/>
          <w:sz w:val="28"/>
          <w:szCs w:val="28"/>
          <w14:ligatures w14:val="none"/>
        </w:rPr>
      </w:pPr>
      <w:r w:rsidRPr="00621732">
        <w:rPr>
          <w:rFonts w:ascii="Arial" w:eastAsia="Calibri" w:hAnsi="Arial" w:cs="Arial"/>
          <w:b/>
          <w:kern w:val="0"/>
          <w:sz w:val="28"/>
          <w:szCs w:val="28"/>
          <w14:ligatures w14:val="none"/>
        </w:rPr>
        <w:t xml:space="preserve">POLICIES SCREENED IN QUARTER </w:t>
      </w:r>
      <w:r w:rsidR="008E0D8B">
        <w:rPr>
          <w:rFonts w:ascii="Arial" w:eastAsia="Calibri" w:hAnsi="Arial" w:cs="Arial"/>
          <w:b/>
          <w:kern w:val="0"/>
          <w:sz w:val="28"/>
          <w:szCs w:val="28"/>
          <w14:ligatures w14:val="none"/>
        </w:rPr>
        <w:t>4</w:t>
      </w:r>
      <w:r w:rsidRPr="00621732">
        <w:rPr>
          <w:rFonts w:ascii="Arial" w:eastAsia="Calibri" w:hAnsi="Arial" w:cs="Arial"/>
          <w:b/>
          <w:kern w:val="0"/>
          <w:sz w:val="28"/>
          <w:szCs w:val="28"/>
          <w14:ligatures w14:val="none"/>
        </w:rPr>
        <w:t xml:space="preserve"> (</w:t>
      </w:r>
      <w:r w:rsidR="008E0D8B">
        <w:rPr>
          <w:rFonts w:ascii="Arial" w:eastAsia="Calibri" w:hAnsi="Arial" w:cs="Arial"/>
          <w:b/>
          <w:kern w:val="0"/>
          <w:sz w:val="28"/>
          <w:szCs w:val="28"/>
          <w14:ligatures w14:val="none"/>
        </w:rPr>
        <w:t>January 2024</w:t>
      </w:r>
      <w:r w:rsidRPr="00621732">
        <w:rPr>
          <w:rFonts w:ascii="Arial" w:eastAsia="Calibri" w:hAnsi="Arial" w:cs="Arial"/>
          <w:b/>
          <w:kern w:val="0"/>
          <w:sz w:val="28"/>
          <w:szCs w:val="28"/>
          <w14:ligatures w14:val="none"/>
        </w:rPr>
        <w:t xml:space="preserve"> to </w:t>
      </w:r>
      <w:r w:rsidR="008E0D8B">
        <w:rPr>
          <w:rFonts w:ascii="Arial" w:eastAsia="Calibri" w:hAnsi="Arial" w:cs="Arial"/>
          <w:b/>
          <w:kern w:val="0"/>
          <w:sz w:val="28"/>
          <w:szCs w:val="28"/>
          <w14:ligatures w14:val="none"/>
        </w:rPr>
        <w:t>March 2024</w:t>
      </w:r>
      <w:r w:rsidRPr="00621732">
        <w:rPr>
          <w:rFonts w:ascii="Arial" w:eastAsia="Calibri" w:hAnsi="Arial" w:cs="Arial"/>
          <w:b/>
          <w:kern w:val="0"/>
          <w:sz w:val="28"/>
          <w:szCs w:val="28"/>
          <w14:ligatures w14:val="none"/>
        </w:rPr>
        <w:t xml:space="preserve">) </w:t>
      </w:r>
    </w:p>
    <w:p w14:paraId="38750F67" w14:textId="77777777" w:rsidR="00621732" w:rsidRPr="00621732" w:rsidRDefault="00621732" w:rsidP="00621732">
      <w:pPr>
        <w:spacing w:after="0" w:line="240" w:lineRule="auto"/>
        <w:rPr>
          <w:rFonts w:ascii="Arial" w:eastAsia="Calibri" w:hAnsi="Arial" w:cs="Arial"/>
          <w:b/>
          <w:kern w:val="0"/>
          <w:sz w:val="28"/>
          <w:szCs w:val="28"/>
          <w14:ligatures w14:val="none"/>
        </w:rPr>
      </w:pPr>
    </w:p>
    <w:tbl>
      <w:tblPr>
        <w:tblStyle w:val="TableGridLight1"/>
        <w:tblW w:w="15501" w:type="dxa"/>
        <w:tblLook w:val="04A0" w:firstRow="1" w:lastRow="0" w:firstColumn="1" w:lastColumn="0" w:noHBand="0" w:noVBand="1"/>
      </w:tblPr>
      <w:tblGrid>
        <w:gridCol w:w="2689"/>
        <w:gridCol w:w="5583"/>
        <w:gridCol w:w="1530"/>
        <w:gridCol w:w="1959"/>
        <w:gridCol w:w="3740"/>
      </w:tblGrid>
      <w:tr w:rsidR="00621732" w:rsidRPr="00621732" w14:paraId="1B2A53A0" w14:textId="77777777" w:rsidTr="0015008F">
        <w:trPr>
          <w:tblHeader/>
        </w:trPr>
        <w:tc>
          <w:tcPr>
            <w:tcW w:w="2689" w:type="dxa"/>
            <w:shd w:val="clear" w:color="auto" w:fill="C2D69B"/>
          </w:tcPr>
          <w:p w14:paraId="7DDCA89F" w14:textId="77777777" w:rsidR="00621732" w:rsidRPr="00D87922" w:rsidRDefault="00621732" w:rsidP="00621732">
            <w:pPr>
              <w:rPr>
                <w:rFonts w:ascii="Arial" w:eastAsia="Calibri" w:hAnsi="Arial" w:cs="Arial"/>
                <w:b/>
                <w:sz w:val="28"/>
                <w:szCs w:val="28"/>
              </w:rPr>
            </w:pPr>
            <w:r w:rsidRPr="00D87922">
              <w:rPr>
                <w:rFonts w:ascii="Arial" w:eastAsia="Calibri" w:hAnsi="Arial" w:cs="Arial"/>
                <w:b/>
                <w:sz w:val="28"/>
                <w:szCs w:val="28"/>
              </w:rPr>
              <w:t>Policy title</w:t>
            </w:r>
          </w:p>
        </w:tc>
        <w:tc>
          <w:tcPr>
            <w:tcW w:w="5583" w:type="dxa"/>
            <w:shd w:val="clear" w:color="auto" w:fill="C2D69B"/>
          </w:tcPr>
          <w:p w14:paraId="153DE389"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Aim of Policy</w:t>
            </w:r>
          </w:p>
        </w:tc>
        <w:tc>
          <w:tcPr>
            <w:tcW w:w="1530" w:type="dxa"/>
            <w:shd w:val="clear" w:color="auto" w:fill="C2D69B"/>
          </w:tcPr>
          <w:p w14:paraId="024EB758"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New / existing / revised policy</w:t>
            </w:r>
          </w:p>
        </w:tc>
        <w:tc>
          <w:tcPr>
            <w:tcW w:w="1959" w:type="dxa"/>
            <w:shd w:val="clear" w:color="auto" w:fill="C2D69B"/>
          </w:tcPr>
          <w:p w14:paraId="20DC63C4"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Date of Screening</w:t>
            </w:r>
          </w:p>
        </w:tc>
        <w:tc>
          <w:tcPr>
            <w:tcW w:w="3740" w:type="dxa"/>
            <w:shd w:val="clear" w:color="auto" w:fill="C2D69B"/>
          </w:tcPr>
          <w:p w14:paraId="41EC23E8" w14:textId="77777777" w:rsidR="00621732" w:rsidRPr="00621732" w:rsidRDefault="00621732" w:rsidP="00621732">
            <w:pPr>
              <w:rPr>
                <w:rFonts w:ascii="Arial" w:eastAsia="Calibri" w:hAnsi="Arial" w:cs="Arial"/>
                <w:b/>
                <w:sz w:val="28"/>
                <w:szCs w:val="28"/>
              </w:rPr>
            </w:pPr>
            <w:r w:rsidRPr="00621732">
              <w:rPr>
                <w:rFonts w:ascii="Arial" w:eastAsia="Calibri" w:hAnsi="Arial" w:cs="Arial"/>
                <w:b/>
                <w:sz w:val="28"/>
                <w:szCs w:val="28"/>
              </w:rPr>
              <w:t>Screening decision</w:t>
            </w:r>
          </w:p>
        </w:tc>
      </w:tr>
      <w:tr w:rsidR="00D21E86" w:rsidRPr="00621732" w14:paraId="68183A5E" w14:textId="77777777" w:rsidTr="00DA7D47">
        <w:tc>
          <w:tcPr>
            <w:tcW w:w="2689" w:type="dxa"/>
          </w:tcPr>
          <w:p w14:paraId="1B08F368" w14:textId="40C0B45F" w:rsidR="00D21E86" w:rsidRPr="00D87922" w:rsidRDefault="008E0D8B" w:rsidP="00DA7D47">
            <w:pPr>
              <w:rPr>
                <w:rFonts w:ascii="Arial" w:eastAsia="Calibri" w:hAnsi="Arial" w:cs="Arial"/>
                <w:sz w:val="28"/>
                <w:szCs w:val="28"/>
              </w:rPr>
            </w:pPr>
            <w:r>
              <w:rPr>
                <w:rFonts w:ascii="Arial" w:eastAsia="Calibri" w:hAnsi="Arial" w:cs="Arial"/>
                <w:sz w:val="28"/>
                <w:szCs w:val="28"/>
              </w:rPr>
              <w:t>Data in Transit Policy</w:t>
            </w:r>
          </w:p>
        </w:tc>
        <w:tc>
          <w:tcPr>
            <w:tcW w:w="5583" w:type="dxa"/>
          </w:tcPr>
          <w:p w14:paraId="62BCB0FA" w14:textId="77777777" w:rsidR="008E0D8B" w:rsidRPr="008E0D8B" w:rsidRDefault="008E0D8B" w:rsidP="008E0D8B">
            <w:pPr>
              <w:rPr>
                <w:rFonts w:ascii="Arial" w:eastAsia="Times New Roman" w:hAnsi="Arial" w:cs="Arial"/>
                <w:sz w:val="28"/>
                <w:szCs w:val="28"/>
              </w:rPr>
            </w:pPr>
            <w:r w:rsidRPr="008E0D8B">
              <w:rPr>
                <w:rFonts w:ascii="Arial" w:eastAsia="Times New Roman" w:hAnsi="Arial" w:cs="Arial"/>
                <w:sz w:val="28"/>
                <w:szCs w:val="28"/>
              </w:rPr>
              <w:t>This document is intended to prevent unauthorised disclosure of information by laying down clear standards of practice to maintain good security when using, taking or sending personal, special category or confidential data outside of their normally secure location.  The need for this is driven by our duty to protect the information of individuals. It is important for NWRC to issue guidance in relation to the transit of personal data to include both hardcopy and electronic format across the Colleges sites.</w:t>
            </w:r>
          </w:p>
          <w:p w14:paraId="416EABD5" w14:textId="77777777" w:rsidR="00D21E86" w:rsidRPr="00823FD9" w:rsidRDefault="00D21E86" w:rsidP="00DA7D47">
            <w:pPr>
              <w:rPr>
                <w:rFonts w:ascii="Arial" w:eastAsia="Times New Roman" w:hAnsi="Arial" w:cs="Arial"/>
                <w:sz w:val="28"/>
                <w:szCs w:val="28"/>
              </w:rPr>
            </w:pPr>
          </w:p>
        </w:tc>
        <w:tc>
          <w:tcPr>
            <w:tcW w:w="1530" w:type="dxa"/>
          </w:tcPr>
          <w:p w14:paraId="4DC2D60E" w14:textId="3C9DA474" w:rsidR="00D21E86" w:rsidRDefault="008E0D8B" w:rsidP="00DA7D47">
            <w:pPr>
              <w:rPr>
                <w:rFonts w:ascii="Arial" w:eastAsia="Calibri" w:hAnsi="Arial" w:cs="Arial"/>
                <w:bCs/>
                <w:sz w:val="28"/>
                <w:szCs w:val="28"/>
              </w:rPr>
            </w:pPr>
            <w:r>
              <w:rPr>
                <w:rFonts w:ascii="Arial" w:eastAsia="Calibri" w:hAnsi="Arial" w:cs="Arial"/>
                <w:bCs/>
                <w:sz w:val="28"/>
                <w:szCs w:val="28"/>
              </w:rPr>
              <w:t>Revised</w:t>
            </w:r>
          </w:p>
        </w:tc>
        <w:tc>
          <w:tcPr>
            <w:tcW w:w="1959" w:type="dxa"/>
          </w:tcPr>
          <w:p w14:paraId="469AC275" w14:textId="4DEC21F3" w:rsidR="00D21E86" w:rsidRDefault="008E0D8B" w:rsidP="00DA7D47">
            <w:pPr>
              <w:rPr>
                <w:rFonts w:ascii="Arial" w:eastAsia="Calibri" w:hAnsi="Arial" w:cs="Arial"/>
                <w:bCs/>
                <w:sz w:val="28"/>
                <w:szCs w:val="28"/>
              </w:rPr>
            </w:pPr>
            <w:r>
              <w:rPr>
                <w:rFonts w:ascii="Arial" w:eastAsia="Calibri" w:hAnsi="Arial" w:cs="Arial"/>
                <w:bCs/>
                <w:sz w:val="28"/>
                <w:szCs w:val="28"/>
              </w:rPr>
              <w:t>12 January 2024</w:t>
            </w:r>
          </w:p>
        </w:tc>
        <w:tc>
          <w:tcPr>
            <w:tcW w:w="3740" w:type="dxa"/>
          </w:tcPr>
          <w:p w14:paraId="6CF49787" w14:textId="061B6AC0" w:rsidR="008E0D8B" w:rsidRPr="008E0D8B" w:rsidRDefault="008E0D8B" w:rsidP="008E0D8B">
            <w:pPr>
              <w:rPr>
                <w:rFonts w:ascii="Arial" w:eastAsia="Times New Roman" w:hAnsi="Arial" w:cs="Arial"/>
                <w:sz w:val="28"/>
                <w:szCs w:val="28"/>
              </w:rPr>
            </w:pPr>
            <w:r w:rsidRPr="008E0D8B">
              <w:rPr>
                <w:rFonts w:ascii="Arial" w:eastAsia="Times New Roman" w:hAnsi="Arial" w:cs="Arial"/>
                <w:sz w:val="28"/>
                <w:szCs w:val="28"/>
              </w:rPr>
              <w:t>This policy has no adverse impact on any of the Section 75 categories</w:t>
            </w:r>
            <w:r>
              <w:rPr>
                <w:rFonts w:ascii="Arial" w:eastAsia="Times New Roman" w:hAnsi="Arial" w:cs="Arial"/>
                <w:sz w:val="28"/>
                <w:szCs w:val="28"/>
              </w:rPr>
              <w:t>.</w:t>
            </w:r>
          </w:p>
          <w:p w14:paraId="3A22E782" w14:textId="6D41FFF3" w:rsidR="00D21E86" w:rsidRPr="00823FD9" w:rsidRDefault="00D21E86" w:rsidP="00DA7D47">
            <w:pPr>
              <w:rPr>
                <w:rFonts w:ascii="Arial" w:eastAsia="Times New Roman" w:hAnsi="Arial" w:cs="Arial"/>
                <w:sz w:val="28"/>
                <w:szCs w:val="28"/>
              </w:rPr>
            </w:pPr>
          </w:p>
        </w:tc>
      </w:tr>
      <w:tr w:rsidR="00720F20" w:rsidRPr="00621732" w14:paraId="4A012C04" w14:textId="77777777" w:rsidTr="00DA7D47">
        <w:tc>
          <w:tcPr>
            <w:tcW w:w="2689" w:type="dxa"/>
          </w:tcPr>
          <w:p w14:paraId="66C4978C" w14:textId="69B41223" w:rsidR="00720F20" w:rsidRPr="00D87922" w:rsidRDefault="00BE2939" w:rsidP="00DA7D47">
            <w:pPr>
              <w:rPr>
                <w:rFonts w:ascii="Arial" w:eastAsia="Calibri" w:hAnsi="Arial" w:cs="Arial"/>
                <w:sz w:val="28"/>
                <w:szCs w:val="28"/>
              </w:rPr>
            </w:pPr>
            <w:r>
              <w:rPr>
                <w:rFonts w:ascii="Arial" w:eastAsia="Calibri" w:hAnsi="Arial" w:cs="Arial"/>
                <w:sz w:val="28"/>
                <w:szCs w:val="28"/>
              </w:rPr>
              <w:t>Guidance on Legitimate Interest</w:t>
            </w:r>
          </w:p>
        </w:tc>
        <w:tc>
          <w:tcPr>
            <w:tcW w:w="5583" w:type="dxa"/>
          </w:tcPr>
          <w:p w14:paraId="3F4923EE" w14:textId="77777777" w:rsidR="00BE2939" w:rsidRPr="00BE2939" w:rsidRDefault="00BE2939" w:rsidP="00BE2939">
            <w:pPr>
              <w:rPr>
                <w:rFonts w:ascii="Arial" w:eastAsia="Times New Roman" w:hAnsi="Arial" w:cs="Arial"/>
                <w:sz w:val="28"/>
                <w:szCs w:val="28"/>
              </w:rPr>
            </w:pPr>
            <w:r w:rsidRPr="00BE2939">
              <w:rPr>
                <w:rFonts w:ascii="Arial" w:eastAsia="Times New Roman" w:hAnsi="Arial" w:cs="Arial"/>
                <w:sz w:val="28"/>
                <w:szCs w:val="28"/>
              </w:rPr>
              <w:t>This guidance aims to assist College employees’ who may decide to process personal data under the Legitimate Interest lawful basis.  The College are obligated under data protection regulations to complete a Legitimate Interest Assessment (LIA) prior to processing personal data under this lawful basis.  This guidance assists College staff in completing the LIA.</w:t>
            </w:r>
          </w:p>
          <w:p w14:paraId="1EF6CE32" w14:textId="77777777" w:rsidR="00720F20" w:rsidRPr="00720F20" w:rsidRDefault="00720F20" w:rsidP="00720F20">
            <w:pPr>
              <w:rPr>
                <w:rFonts w:ascii="Arial" w:eastAsia="Times New Roman" w:hAnsi="Arial" w:cs="Arial"/>
                <w:sz w:val="28"/>
                <w:szCs w:val="28"/>
              </w:rPr>
            </w:pPr>
          </w:p>
        </w:tc>
        <w:tc>
          <w:tcPr>
            <w:tcW w:w="1530" w:type="dxa"/>
          </w:tcPr>
          <w:p w14:paraId="7D51230F" w14:textId="415C13CC" w:rsidR="00720F20" w:rsidRDefault="00BE2939" w:rsidP="00DA7D47">
            <w:pPr>
              <w:rPr>
                <w:rFonts w:ascii="Arial" w:eastAsia="Calibri" w:hAnsi="Arial" w:cs="Arial"/>
                <w:bCs/>
                <w:sz w:val="28"/>
                <w:szCs w:val="28"/>
              </w:rPr>
            </w:pPr>
            <w:r>
              <w:rPr>
                <w:rFonts w:ascii="Arial" w:eastAsia="Calibri" w:hAnsi="Arial" w:cs="Arial"/>
                <w:bCs/>
                <w:sz w:val="28"/>
                <w:szCs w:val="28"/>
              </w:rPr>
              <w:lastRenderedPageBreak/>
              <w:t>Revised</w:t>
            </w:r>
          </w:p>
        </w:tc>
        <w:tc>
          <w:tcPr>
            <w:tcW w:w="1959" w:type="dxa"/>
          </w:tcPr>
          <w:p w14:paraId="2CBB00EB" w14:textId="0B9AA1F7" w:rsidR="00720F20" w:rsidRDefault="00BE2939" w:rsidP="00DA7D47">
            <w:pPr>
              <w:rPr>
                <w:rFonts w:ascii="Arial" w:eastAsia="Calibri" w:hAnsi="Arial" w:cs="Arial"/>
                <w:bCs/>
                <w:sz w:val="28"/>
                <w:szCs w:val="28"/>
              </w:rPr>
            </w:pPr>
            <w:r>
              <w:rPr>
                <w:rFonts w:ascii="Arial" w:eastAsia="Calibri" w:hAnsi="Arial" w:cs="Arial"/>
                <w:bCs/>
                <w:sz w:val="28"/>
                <w:szCs w:val="28"/>
              </w:rPr>
              <w:t>12 January 2024</w:t>
            </w:r>
          </w:p>
        </w:tc>
        <w:tc>
          <w:tcPr>
            <w:tcW w:w="3740" w:type="dxa"/>
          </w:tcPr>
          <w:p w14:paraId="407153FD" w14:textId="77777777" w:rsidR="00BE2939" w:rsidRPr="00BE2939" w:rsidRDefault="00BE2939" w:rsidP="00BE2939">
            <w:pPr>
              <w:rPr>
                <w:rFonts w:ascii="Arial" w:eastAsia="Times New Roman" w:hAnsi="Arial" w:cs="Arial"/>
                <w:sz w:val="28"/>
                <w:szCs w:val="28"/>
              </w:rPr>
            </w:pPr>
            <w:r w:rsidRPr="00BE2939">
              <w:rPr>
                <w:rFonts w:ascii="Arial" w:eastAsia="Times New Roman" w:hAnsi="Arial" w:cs="Arial"/>
                <w:sz w:val="28"/>
                <w:szCs w:val="28"/>
              </w:rPr>
              <w:t>None as this policy has no adverse impact on any of the Section 75 categories</w:t>
            </w:r>
          </w:p>
          <w:p w14:paraId="1D1F04A0" w14:textId="582BB34C" w:rsidR="00720F20" w:rsidRPr="00720F20" w:rsidRDefault="00720F20" w:rsidP="00DA7D47">
            <w:pPr>
              <w:rPr>
                <w:rFonts w:ascii="Arial" w:eastAsia="Times New Roman" w:hAnsi="Arial" w:cs="Arial"/>
                <w:sz w:val="28"/>
                <w:szCs w:val="28"/>
              </w:rPr>
            </w:pPr>
          </w:p>
        </w:tc>
      </w:tr>
      <w:tr w:rsidR="00DE75EE" w:rsidRPr="00621732" w14:paraId="58FF5259" w14:textId="77777777" w:rsidTr="00DA7D47">
        <w:tc>
          <w:tcPr>
            <w:tcW w:w="2689" w:type="dxa"/>
          </w:tcPr>
          <w:p w14:paraId="63ADAA2C" w14:textId="360B171C" w:rsidR="00DE75EE" w:rsidRDefault="00DE75EE" w:rsidP="00DA7D47">
            <w:pPr>
              <w:rPr>
                <w:rFonts w:ascii="Arial" w:eastAsia="Calibri" w:hAnsi="Arial" w:cs="Arial"/>
                <w:sz w:val="28"/>
                <w:szCs w:val="28"/>
              </w:rPr>
            </w:pPr>
            <w:r>
              <w:rPr>
                <w:rFonts w:ascii="Arial" w:eastAsia="Calibri" w:hAnsi="Arial" w:cs="Arial"/>
                <w:sz w:val="28"/>
                <w:szCs w:val="28"/>
              </w:rPr>
              <w:t>Suicide Prevention Policy</w:t>
            </w:r>
          </w:p>
        </w:tc>
        <w:tc>
          <w:tcPr>
            <w:tcW w:w="5583" w:type="dxa"/>
          </w:tcPr>
          <w:p w14:paraId="25010211" w14:textId="77777777" w:rsidR="00DE75EE" w:rsidRPr="00DE75EE" w:rsidRDefault="00DE75EE" w:rsidP="00DE75EE">
            <w:pPr>
              <w:rPr>
                <w:rFonts w:ascii="Arial" w:eastAsia="Times New Roman" w:hAnsi="Arial" w:cs="Arial"/>
                <w:b/>
                <w:bCs/>
                <w:sz w:val="28"/>
                <w:szCs w:val="28"/>
              </w:rPr>
            </w:pPr>
            <w:r w:rsidRPr="00DE75EE">
              <w:rPr>
                <w:rFonts w:ascii="Arial" w:eastAsia="Times New Roman" w:hAnsi="Arial" w:cs="Arial"/>
                <w:sz w:val="28"/>
                <w:szCs w:val="28"/>
              </w:rPr>
              <w:t>The objectives of this policy and associated procedures are to:</w:t>
            </w:r>
          </w:p>
          <w:p w14:paraId="32B904F8" w14:textId="77777777" w:rsidR="00DE75EE" w:rsidRPr="00DE75EE" w:rsidRDefault="00DE75EE" w:rsidP="00DE75EE">
            <w:pPr>
              <w:rPr>
                <w:rFonts w:ascii="Arial" w:eastAsia="Times New Roman" w:hAnsi="Arial" w:cs="Arial"/>
                <w:b/>
                <w:bCs/>
                <w:sz w:val="28"/>
                <w:szCs w:val="28"/>
              </w:rPr>
            </w:pPr>
          </w:p>
          <w:p w14:paraId="7F0059CF" w14:textId="77777777" w:rsidR="00DE75EE" w:rsidRPr="00DE75EE" w:rsidRDefault="00DE75EE" w:rsidP="00DE75EE">
            <w:pPr>
              <w:pStyle w:val="ListParagraph"/>
              <w:numPr>
                <w:ilvl w:val="0"/>
                <w:numId w:val="9"/>
              </w:numPr>
              <w:rPr>
                <w:rFonts w:ascii="Arial" w:eastAsia="Times New Roman" w:hAnsi="Arial" w:cs="Arial"/>
                <w:b/>
                <w:bCs/>
                <w:sz w:val="28"/>
                <w:szCs w:val="28"/>
              </w:rPr>
            </w:pPr>
            <w:r w:rsidRPr="00DE75EE">
              <w:rPr>
                <w:rFonts w:ascii="Arial" w:eastAsia="Times New Roman" w:hAnsi="Arial" w:cs="Arial"/>
                <w:sz w:val="28"/>
                <w:szCs w:val="28"/>
              </w:rPr>
              <w:t>Ensure that students who may be at risk of self-harm and/or suicide and who are in contact with NWRC are supported effectively;</w:t>
            </w:r>
          </w:p>
          <w:p w14:paraId="4B82517C" w14:textId="77777777" w:rsidR="00DE75EE" w:rsidRPr="00DE75EE" w:rsidRDefault="00DE75EE" w:rsidP="00DE75EE">
            <w:pPr>
              <w:pStyle w:val="ListParagraph"/>
              <w:numPr>
                <w:ilvl w:val="0"/>
                <w:numId w:val="9"/>
              </w:numPr>
              <w:rPr>
                <w:rFonts w:ascii="Arial" w:eastAsia="Times New Roman" w:hAnsi="Arial" w:cs="Arial"/>
                <w:b/>
                <w:bCs/>
                <w:sz w:val="28"/>
                <w:szCs w:val="28"/>
              </w:rPr>
            </w:pPr>
            <w:r w:rsidRPr="00DE75EE">
              <w:rPr>
                <w:rFonts w:ascii="Arial" w:eastAsia="Times New Roman" w:hAnsi="Arial" w:cs="Arial"/>
                <w:sz w:val="28"/>
                <w:szCs w:val="28"/>
              </w:rPr>
              <w:t>Provide a clear framework for action whenever the risk of suicide and/or self-harm is disclosed or suspected;</w:t>
            </w:r>
          </w:p>
          <w:p w14:paraId="617CE27A" w14:textId="77777777" w:rsidR="00DE75EE" w:rsidRPr="00DE75EE" w:rsidRDefault="00DE75EE" w:rsidP="00DE75EE">
            <w:pPr>
              <w:pStyle w:val="ListParagraph"/>
              <w:numPr>
                <w:ilvl w:val="0"/>
                <w:numId w:val="9"/>
              </w:numPr>
              <w:rPr>
                <w:rFonts w:ascii="Arial" w:eastAsia="Times New Roman" w:hAnsi="Arial" w:cs="Arial"/>
                <w:b/>
                <w:bCs/>
                <w:sz w:val="28"/>
                <w:szCs w:val="28"/>
              </w:rPr>
            </w:pPr>
            <w:r w:rsidRPr="00DE75EE">
              <w:rPr>
                <w:rFonts w:ascii="Arial" w:eastAsia="Times New Roman" w:hAnsi="Arial" w:cs="Arial"/>
                <w:sz w:val="28"/>
                <w:szCs w:val="28"/>
              </w:rPr>
              <w:t>Ensure all NWRC staff are clear about their responsibilities; and</w:t>
            </w:r>
          </w:p>
          <w:p w14:paraId="186636C0" w14:textId="0F0959C2" w:rsidR="00DE75EE" w:rsidRPr="00DE75EE" w:rsidRDefault="00DE75EE" w:rsidP="00DE75EE">
            <w:pPr>
              <w:pStyle w:val="ListParagraph"/>
              <w:numPr>
                <w:ilvl w:val="0"/>
                <w:numId w:val="9"/>
              </w:numPr>
              <w:rPr>
                <w:rFonts w:ascii="Arial" w:eastAsia="Times New Roman" w:hAnsi="Arial" w:cs="Arial"/>
                <w:sz w:val="28"/>
                <w:szCs w:val="28"/>
              </w:rPr>
            </w:pPr>
            <w:r w:rsidRPr="00DE75EE">
              <w:rPr>
                <w:rFonts w:ascii="Arial" w:eastAsia="Times New Roman" w:hAnsi="Arial" w:cs="Arial"/>
                <w:sz w:val="28"/>
                <w:szCs w:val="28"/>
              </w:rPr>
              <w:t>Ensure that NWRC complies with best practice in this area</w:t>
            </w:r>
          </w:p>
        </w:tc>
        <w:tc>
          <w:tcPr>
            <w:tcW w:w="1530" w:type="dxa"/>
          </w:tcPr>
          <w:p w14:paraId="244F1248" w14:textId="4D032A76" w:rsidR="00DE75EE" w:rsidRDefault="00DE75EE" w:rsidP="00DA7D47">
            <w:pPr>
              <w:rPr>
                <w:rFonts w:ascii="Arial" w:eastAsia="Calibri" w:hAnsi="Arial" w:cs="Arial"/>
                <w:bCs/>
                <w:sz w:val="28"/>
                <w:szCs w:val="28"/>
              </w:rPr>
            </w:pPr>
            <w:r>
              <w:rPr>
                <w:rFonts w:ascii="Arial" w:eastAsia="Calibri" w:hAnsi="Arial" w:cs="Arial"/>
                <w:bCs/>
                <w:sz w:val="28"/>
                <w:szCs w:val="28"/>
              </w:rPr>
              <w:t>New</w:t>
            </w:r>
          </w:p>
        </w:tc>
        <w:tc>
          <w:tcPr>
            <w:tcW w:w="1959" w:type="dxa"/>
          </w:tcPr>
          <w:p w14:paraId="087D2648" w14:textId="5D8767D4" w:rsidR="00DE75EE" w:rsidRDefault="00DE75EE" w:rsidP="00DA7D47">
            <w:pPr>
              <w:rPr>
                <w:rFonts w:ascii="Arial" w:eastAsia="Calibri" w:hAnsi="Arial" w:cs="Arial"/>
                <w:bCs/>
                <w:sz w:val="28"/>
                <w:szCs w:val="28"/>
              </w:rPr>
            </w:pPr>
            <w:r>
              <w:rPr>
                <w:rFonts w:ascii="Arial" w:eastAsia="Calibri" w:hAnsi="Arial" w:cs="Arial"/>
                <w:bCs/>
                <w:sz w:val="28"/>
                <w:szCs w:val="28"/>
              </w:rPr>
              <w:t>19 January 2024</w:t>
            </w:r>
          </w:p>
        </w:tc>
        <w:tc>
          <w:tcPr>
            <w:tcW w:w="3740" w:type="dxa"/>
          </w:tcPr>
          <w:p w14:paraId="44324EA1" w14:textId="0B789257" w:rsidR="00DE75EE" w:rsidRPr="00BE2939" w:rsidRDefault="00DE75EE" w:rsidP="00BE2939">
            <w:pPr>
              <w:rPr>
                <w:rFonts w:ascii="Arial" w:eastAsia="Times New Roman" w:hAnsi="Arial" w:cs="Arial"/>
                <w:sz w:val="28"/>
                <w:szCs w:val="28"/>
              </w:rPr>
            </w:pPr>
            <w:r w:rsidRPr="00DE75EE">
              <w:rPr>
                <w:rFonts w:ascii="Arial" w:eastAsia="Times New Roman" w:hAnsi="Arial" w:cs="Arial"/>
                <w:sz w:val="28"/>
                <w:szCs w:val="28"/>
              </w:rPr>
              <w:t>No impact assessment is necessary for this policy.  It has been developed to support students experiencing mental health issues and does not impact on any of the section 75 categories.</w:t>
            </w:r>
          </w:p>
        </w:tc>
      </w:tr>
      <w:tr w:rsidR="00A01054" w:rsidRPr="00621732" w14:paraId="33E7F73B" w14:textId="77777777" w:rsidTr="00DA7D47">
        <w:tc>
          <w:tcPr>
            <w:tcW w:w="2689" w:type="dxa"/>
          </w:tcPr>
          <w:p w14:paraId="2CD66BAC" w14:textId="3E3F40B6" w:rsidR="00A01054" w:rsidRDefault="00A01054" w:rsidP="00DA7D47">
            <w:pPr>
              <w:rPr>
                <w:rFonts w:ascii="Arial" w:eastAsia="Calibri" w:hAnsi="Arial" w:cs="Arial"/>
                <w:sz w:val="28"/>
                <w:szCs w:val="28"/>
              </w:rPr>
            </w:pPr>
            <w:r>
              <w:rPr>
                <w:rFonts w:ascii="Arial" w:eastAsia="Calibri" w:hAnsi="Arial" w:cs="Arial"/>
                <w:sz w:val="28"/>
                <w:szCs w:val="28"/>
              </w:rPr>
              <w:t>Policy for Residentials and Trips</w:t>
            </w:r>
          </w:p>
        </w:tc>
        <w:tc>
          <w:tcPr>
            <w:tcW w:w="5583" w:type="dxa"/>
          </w:tcPr>
          <w:p w14:paraId="4089FD31" w14:textId="77777777" w:rsidR="00A01054" w:rsidRPr="00A01054" w:rsidRDefault="00A01054" w:rsidP="00A01054">
            <w:pPr>
              <w:rPr>
                <w:rFonts w:ascii="Arial" w:eastAsia="Times New Roman" w:hAnsi="Arial" w:cs="Arial"/>
                <w:b/>
                <w:bCs/>
                <w:sz w:val="28"/>
                <w:szCs w:val="28"/>
              </w:rPr>
            </w:pPr>
            <w:r w:rsidRPr="00A01054">
              <w:rPr>
                <w:rFonts w:ascii="Arial" w:eastAsia="Times New Roman" w:hAnsi="Arial" w:cs="Arial"/>
                <w:sz w:val="28"/>
                <w:szCs w:val="28"/>
              </w:rPr>
              <w:t>The aim of this policy is to ensure that all residential programmes and trips (including international trips/day trips/visits/competitions) approved by the College add value to the curriculum and are managed in a consistent and prudent manner whilst maintaining and safeguarding the wellbeing of students and staff.</w:t>
            </w:r>
          </w:p>
          <w:p w14:paraId="38ED75BC" w14:textId="77777777" w:rsidR="00A01054" w:rsidRPr="00BE2939" w:rsidRDefault="00A01054" w:rsidP="00BE2939">
            <w:pPr>
              <w:rPr>
                <w:rFonts w:ascii="Arial" w:eastAsia="Times New Roman" w:hAnsi="Arial" w:cs="Arial"/>
                <w:sz w:val="28"/>
                <w:szCs w:val="28"/>
              </w:rPr>
            </w:pPr>
          </w:p>
        </w:tc>
        <w:tc>
          <w:tcPr>
            <w:tcW w:w="1530" w:type="dxa"/>
          </w:tcPr>
          <w:p w14:paraId="08CA7562" w14:textId="5DEBBAC4" w:rsidR="00A01054" w:rsidRDefault="00A01054" w:rsidP="00DA7D47">
            <w:pPr>
              <w:rPr>
                <w:rFonts w:ascii="Arial" w:eastAsia="Calibri" w:hAnsi="Arial" w:cs="Arial"/>
                <w:bCs/>
                <w:sz w:val="28"/>
                <w:szCs w:val="28"/>
              </w:rPr>
            </w:pPr>
            <w:r>
              <w:rPr>
                <w:rFonts w:ascii="Arial" w:eastAsia="Calibri" w:hAnsi="Arial" w:cs="Arial"/>
                <w:bCs/>
                <w:sz w:val="28"/>
                <w:szCs w:val="28"/>
              </w:rPr>
              <w:t>Revised</w:t>
            </w:r>
          </w:p>
        </w:tc>
        <w:tc>
          <w:tcPr>
            <w:tcW w:w="1959" w:type="dxa"/>
          </w:tcPr>
          <w:p w14:paraId="5A05DA09" w14:textId="445B2C64" w:rsidR="00A01054" w:rsidRDefault="00A01054" w:rsidP="00DA7D47">
            <w:pPr>
              <w:rPr>
                <w:rFonts w:ascii="Arial" w:eastAsia="Calibri" w:hAnsi="Arial" w:cs="Arial"/>
                <w:bCs/>
                <w:sz w:val="28"/>
                <w:szCs w:val="28"/>
              </w:rPr>
            </w:pPr>
            <w:r>
              <w:rPr>
                <w:rFonts w:ascii="Arial" w:eastAsia="Calibri" w:hAnsi="Arial" w:cs="Arial"/>
                <w:bCs/>
                <w:sz w:val="28"/>
                <w:szCs w:val="28"/>
              </w:rPr>
              <w:t>31 January 2024</w:t>
            </w:r>
          </w:p>
        </w:tc>
        <w:tc>
          <w:tcPr>
            <w:tcW w:w="3740" w:type="dxa"/>
          </w:tcPr>
          <w:p w14:paraId="2D8A7645" w14:textId="7EDE3FB6" w:rsidR="00A01054" w:rsidRPr="00BE2939" w:rsidRDefault="00A01054" w:rsidP="00BE2939">
            <w:pPr>
              <w:rPr>
                <w:rFonts w:ascii="Arial" w:eastAsia="Times New Roman" w:hAnsi="Arial" w:cs="Arial"/>
                <w:sz w:val="28"/>
                <w:szCs w:val="28"/>
              </w:rPr>
            </w:pPr>
            <w:r w:rsidRPr="00A01054">
              <w:rPr>
                <w:rFonts w:ascii="Arial" w:eastAsia="Times New Roman" w:hAnsi="Arial" w:cs="Arial"/>
                <w:sz w:val="28"/>
                <w:szCs w:val="28"/>
              </w:rPr>
              <w:t>No impact assessment is necessary for this policy as the policy is for all students regardless of S75 equality categories</w:t>
            </w:r>
          </w:p>
        </w:tc>
      </w:tr>
      <w:tr w:rsidR="00A83DB6" w:rsidRPr="00621732" w14:paraId="16EFEF1A" w14:textId="77777777" w:rsidTr="0005131D">
        <w:tc>
          <w:tcPr>
            <w:tcW w:w="2689" w:type="dxa"/>
          </w:tcPr>
          <w:p w14:paraId="24CA50E5" w14:textId="77777777" w:rsidR="00A83DB6" w:rsidRPr="009F6517" w:rsidRDefault="00A83DB6" w:rsidP="0005131D">
            <w:pPr>
              <w:rPr>
                <w:rFonts w:ascii="Arial" w:eastAsia="Calibri" w:hAnsi="Arial" w:cs="Arial"/>
                <w:sz w:val="28"/>
                <w:szCs w:val="28"/>
                <w:highlight w:val="yellow"/>
              </w:rPr>
            </w:pPr>
            <w:r w:rsidRPr="00671BBE">
              <w:rPr>
                <w:rFonts w:ascii="Arial" w:eastAsia="Calibri" w:hAnsi="Arial" w:cs="Arial"/>
                <w:sz w:val="28"/>
                <w:szCs w:val="28"/>
              </w:rPr>
              <w:t>Sector Maternity Leave Policy</w:t>
            </w:r>
          </w:p>
        </w:tc>
        <w:tc>
          <w:tcPr>
            <w:tcW w:w="5583" w:type="dxa"/>
          </w:tcPr>
          <w:p w14:paraId="008E27C7" w14:textId="77777777" w:rsidR="00A83DB6" w:rsidRPr="00671BBE" w:rsidRDefault="00A83DB6" w:rsidP="0005131D">
            <w:pPr>
              <w:rPr>
                <w:rFonts w:ascii="Arial" w:eastAsia="Times New Roman" w:hAnsi="Arial" w:cs="Arial"/>
                <w:sz w:val="28"/>
                <w:szCs w:val="28"/>
              </w:rPr>
            </w:pPr>
            <w:r w:rsidRPr="00671BBE">
              <w:rPr>
                <w:rFonts w:ascii="Arial" w:eastAsia="Times New Roman" w:hAnsi="Arial" w:cs="Arial"/>
                <w:sz w:val="28"/>
                <w:szCs w:val="28"/>
              </w:rPr>
              <w:t xml:space="preserve">This policy sets out FE sector’s guidance in relation to implementing maternity leave </w:t>
            </w:r>
            <w:r w:rsidRPr="00671BBE">
              <w:rPr>
                <w:rFonts w:ascii="Arial" w:eastAsia="Times New Roman" w:hAnsi="Arial" w:cs="Arial"/>
                <w:sz w:val="28"/>
                <w:szCs w:val="28"/>
              </w:rPr>
              <w:lastRenderedPageBreak/>
              <w:t>requirements and the processes/criteria that are in place to support staff before, during and after their maternity leave.</w:t>
            </w:r>
          </w:p>
          <w:p w14:paraId="6898B4D0" w14:textId="77777777" w:rsidR="00A83DB6" w:rsidRPr="00671BBE" w:rsidRDefault="00A83DB6" w:rsidP="0005131D">
            <w:pPr>
              <w:rPr>
                <w:rFonts w:ascii="Arial" w:eastAsia="Times New Roman" w:hAnsi="Arial" w:cs="Arial"/>
                <w:sz w:val="28"/>
                <w:szCs w:val="28"/>
              </w:rPr>
            </w:pPr>
          </w:p>
          <w:p w14:paraId="455D8041" w14:textId="77777777" w:rsidR="00A83DB6" w:rsidRPr="00842990" w:rsidRDefault="00A83DB6" w:rsidP="0005131D">
            <w:pPr>
              <w:rPr>
                <w:rFonts w:ascii="Arial" w:eastAsia="Times New Roman" w:hAnsi="Arial" w:cs="Arial"/>
                <w:sz w:val="28"/>
                <w:szCs w:val="28"/>
              </w:rPr>
            </w:pPr>
            <w:r w:rsidRPr="00671BBE">
              <w:rPr>
                <w:rFonts w:ascii="Arial" w:eastAsia="Times New Roman" w:hAnsi="Arial" w:cs="Arial"/>
                <w:sz w:val="28"/>
                <w:szCs w:val="28"/>
              </w:rPr>
              <w:t>The policy is legislative in nature and applies to all new and expectant mothers.</w:t>
            </w:r>
          </w:p>
        </w:tc>
        <w:tc>
          <w:tcPr>
            <w:tcW w:w="1530" w:type="dxa"/>
          </w:tcPr>
          <w:p w14:paraId="2F0E2A1C" w14:textId="77777777" w:rsidR="00A83DB6" w:rsidRDefault="00A83DB6" w:rsidP="0005131D">
            <w:pPr>
              <w:rPr>
                <w:rFonts w:ascii="Arial" w:eastAsia="Calibri" w:hAnsi="Arial" w:cs="Arial"/>
                <w:bCs/>
                <w:sz w:val="28"/>
                <w:szCs w:val="28"/>
              </w:rPr>
            </w:pPr>
            <w:r>
              <w:rPr>
                <w:rFonts w:ascii="Arial" w:eastAsia="Calibri" w:hAnsi="Arial" w:cs="Arial"/>
                <w:bCs/>
                <w:sz w:val="28"/>
                <w:szCs w:val="28"/>
              </w:rPr>
              <w:lastRenderedPageBreak/>
              <w:t>Revised</w:t>
            </w:r>
          </w:p>
        </w:tc>
        <w:tc>
          <w:tcPr>
            <w:tcW w:w="1959" w:type="dxa"/>
          </w:tcPr>
          <w:p w14:paraId="4D724E9C" w14:textId="77777777" w:rsidR="00A83DB6" w:rsidRPr="00671BBE" w:rsidRDefault="00A83DB6" w:rsidP="0005131D">
            <w:pPr>
              <w:rPr>
                <w:rFonts w:ascii="Arial" w:eastAsia="Calibri" w:hAnsi="Arial" w:cs="Arial"/>
                <w:bCs/>
                <w:sz w:val="28"/>
                <w:szCs w:val="28"/>
              </w:rPr>
            </w:pPr>
            <w:r w:rsidRPr="00671BBE">
              <w:rPr>
                <w:rFonts w:ascii="Arial" w:eastAsia="Calibri" w:hAnsi="Arial" w:cs="Arial"/>
                <w:bCs/>
                <w:sz w:val="28"/>
                <w:szCs w:val="28"/>
              </w:rPr>
              <w:t>5 February 2024 and</w:t>
            </w:r>
          </w:p>
          <w:p w14:paraId="353E99BA" w14:textId="77777777" w:rsidR="00A83DB6" w:rsidRPr="00671BBE" w:rsidRDefault="00A83DB6" w:rsidP="0005131D">
            <w:pPr>
              <w:rPr>
                <w:rFonts w:ascii="Arial" w:eastAsia="Calibri" w:hAnsi="Arial" w:cs="Arial"/>
                <w:bCs/>
                <w:sz w:val="28"/>
                <w:szCs w:val="28"/>
              </w:rPr>
            </w:pPr>
            <w:r w:rsidRPr="00671BBE">
              <w:rPr>
                <w:rFonts w:ascii="Arial" w:eastAsia="Calibri" w:hAnsi="Arial" w:cs="Arial"/>
                <w:bCs/>
                <w:sz w:val="28"/>
                <w:szCs w:val="28"/>
              </w:rPr>
              <w:lastRenderedPageBreak/>
              <w:t xml:space="preserve">27 February 2024 (to be reviewed when sector data updated has been updated) </w:t>
            </w:r>
          </w:p>
          <w:p w14:paraId="3D9C535B" w14:textId="77777777" w:rsidR="00A83DB6" w:rsidRDefault="00A83DB6" w:rsidP="0005131D">
            <w:pPr>
              <w:rPr>
                <w:rFonts w:ascii="Arial" w:eastAsia="Calibri" w:hAnsi="Arial" w:cs="Arial"/>
                <w:bCs/>
                <w:sz w:val="28"/>
                <w:szCs w:val="28"/>
              </w:rPr>
            </w:pPr>
          </w:p>
        </w:tc>
        <w:tc>
          <w:tcPr>
            <w:tcW w:w="3740" w:type="dxa"/>
          </w:tcPr>
          <w:p w14:paraId="31369B48" w14:textId="77777777" w:rsidR="00A83DB6" w:rsidRPr="00842990" w:rsidRDefault="00A83DB6" w:rsidP="0005131D">
            <w:pPr>
              <w:rPr>
                <w:rFonts w:ascii="Arial" w:eastAsia="Times New Roman" w:hAnsi="Arial" w:cs="Arial"/>
                <w:sz w:val="28"/>
                <w:szCs w:val="28"/>
              </w:rPr>
            </w:pPr>
            <w:r w:rsidRPr="00671BBE">
              <w:rPr>
                <w:rFonts w:ascii="Arial" w:eastAsia="Times New Roman" w:hAnsi="Arial" w:cs="Arial"/>
                <w:sz w:val="28"/>
                <w:szCs w:val="28"/>
              </w:rPr>
              <w:lastRenderedPageBreak/>
              <w:t xml:space="preserve">This policy sets out FE sector’s guidance in relation </w:t>
            </w:r>
            <w:r w:rsidRPr="00671BBE">
              <w:rPr>
                <w:rFonts w:ascii="Arial" w:eastAsia="Times New Roman" w:hAnsi="Arial" w:cs="Arial"/>
                <w:sz w:val="28"/>
                <w:szCs w:val="28"/>
              </w:rPr>
              <w:lastRenderedPageBreak/>
              <w:t>to implementing maternity leave requirements and the processes/criteria that are in place to support staff before, during and after their maternity leave.  The policy itself does not adversely impact staff from any of the Section 75 equality categories.</w:t>
            </w:r>
          </w:p>
        </w:tc>
      </w:tr>
      <w:tr w:rsidR="00A83DB6" w:rsidRPr="00621732" w14:paraId="081EDA78" w14:textId="77777777" w:rsidTr="0005131D">
        <w:tc>
          <w:tcPr>
            <w:tcW w:w="2689" w:type="dxa"/>
          </w:tcPr>
          <w:p w14:paraId="0DB47909" w14:textId="77777777" w:rsidR="00A83DB6" w:rsidRPr="009F6517" w:rsidRDefault="00A83DB6" w:rsidP="0005131D">
            <w:pPr>
              <w:rPr>
                <w:rFonts w:ascii="Arial" w:eastAsia="Calibri" w:hAnsi="Arial" w:cs="Arial"/>
                <w:sz w:val="28"/>
                <w:szCs w:val="28"/>
                <w:highlight w:val="yellow"/>
              </w:rPr>
            </w:pPr>
            <w:r w:rsidRPr="00671BBE">
              <w:rPr>
                <w:rFonts w:ascii="Arial" w:eastAsia="Calibri" w:hAnsi="Arial" w:cs="Arial"/>
                <w:sz w:val="28"/>
                <w:szCs w:val="28"/>
              </w:rPr>
              <w:lastRenderedPageBreak/>
              <w:t>Sector Parental Bereavement Leave Policy</w:t>
            </w:r>
          </w:p>
        </w:tc>
        <w:tc>
          <w:tcPr>
            <w:tcW w:w="5583" w:type="dxa"/>
          </w:tcPr>
          <w:p w14:paraId="5F9417C6" w14:textId="77777777" w:rsidR="00A83DB6" w:rsidRPr="00671BBE" w:rsidRDefault="00A83DB6" w:rsidP="0005131D">
            <w:pPr>
              <w:rPr>
                <w:rFonts w:ascii="Arial" w:eastAsia="Times New Roman" w:hAnsi="Arial" w:cs="Arial"/>
                <w:b/>
                <w:bCs/>
                <w:sz w:val="28"/>
                <w:szCs w:val="28"/>
              </w:rPr>
            </w:pPr>
            <w:r w:rsidRPr="00671BBE">
              <w:rPr>
                <w:rFonts w:ascii="Arial" w:eastAsia="Times New Roman" w:hAnsi="Arial" w:cs="Arial"/>
                <w:sz w:val="28"/>
                <w:szCs w:val="28"/>
              </w:rPr>
              <w:t>This policy sets out FE sector commitment to supporting bereaved parents through their grief by ensuring they can take parental bereavement leave.   We recognise that, while dealing with any bereavement is difficult, the death of a child is among the most devastating events that an employee can ever face. The policy applies to employees who suffer the loss of a child under the age of 18. This includes parents who suffer a stillbirth after 24 weeks of pregnancy.</w:t>
            </w:r>
          </w:p>
          <w:p w14:paraId="4F60E809" w14:textId="77777777" w:rsidR="00A83DB6" w:rsidRPr="00FF44EA" w:rsidRDefault="00A83DB6" w:rsidP="0005131D">
            <w:pPr>
              <w:rPr>
                <w:rFonts w:ascii="Arial" w:eastAsia="Times New Roman" w:hAnsi="Arial" w:cs="Arial"/>
                <w:sz w:val="28"/>
                <w:szCs w:val="28"/>
              </w:rPr>
            </w:pPr>
          </w:p>
        </w:tc>
        <w:tc>
          <w:tcPr>
            <w:tcW w:w="1530" w:type="dxa"/>
          </w:tcPr>
          <w:p w14:paraId="53B28AB1" w14:textId="77777777" w:rsidR="00A83DB6" w:rsidRDefault="00A83DB6" w:rsidP="0005131D">
            <w:pPr>
              <w:rPr>
                <w:rFonts w:ascii="Arial" w:eastAsia="Calibri" w:hAnsi="Arial" w:cs="Arial"/>
                <w:bCs/>
                <w:sz w:val="28"/>
                <w:szCs w:val="28"/>
              </w:rPr>
            </w:pPr>
            <w:r>
              <w:rPr>
                <w:rFonts w:ascii="Arial" w:eastAsia="Calibri" w:hAnsi="Arial" w:cs="Arial"/>
                <w:bCs/>
                <w:sz w:val="28"/>
                <w:szCs w:val="28"/>
              </w:rPr>
              <w:t>New</w:t>
            </w:r>
          </w:p>
        </w:tc>
        <w:tc>
          <w:tcPr>
            <w:tcW w:w="1959" w:type="dxa"/>
          </w:tcPr>
          <w:p w14:paraId="037F97F3" w14:textId="77777777" w:rsidR="00A83DB6" w:rsidRPr="00671BBE" w:rsidRDefault="00A83DB6" w:rsidP="0005131D">
            <w:pPr>
              <w:rPr>
                <w:rFonts w:ascii="Arial" w:eastAsia="Calibri" w:hAnsi="Arial" w:cs="Arial"/>
                <w:sz w:val="28"/>
                <w:szCs w:val="28"/>
              </w:rPr>
            </w:pPr>
            <w:r w:rsidRPr="00671BBE">
              <w:rPr>
                <w:rFonts w:ascii="Arial" w:eastAsia="Calibri" w:hAnsi="Arial" w:cs="Arial"/>
                <w:sz w:val="28"/>
                <w:szCs w:val="28"/>
              </w:rPr>
              <w:t xml:space="preserve">5 February 2024 </w:t>
            </w:r>
            <w:r>
              <w:rPr>
                <w:rFonts w:ascii="Arial" w:eastAsia="Calibri" w:hAnsi="Arial" w:cs="Arial"/>
                <w:sz w:val="28"/>
                <w:szCs w:val="28"/>
              </w:rPr>
              <w:t>and</w:t>
            </w:r>
          </w:p>
          <w:p w14:paraId="50F4EB1E" w14:textId="77777777" w:rsidR="00A83DB6" w:rsidRPr="00671BBE" w:rsidRDefault="00A83DB6" w:rsidP="0005131D">
            <w:pPr>
              <w:rPr>
                <w:rFonts w:ascii="Arial" w:eastAsia="Calibri" w:hAnsi="Arial" w:cs="Arial"/>
                <w:sz w:val="28"/>
                <w:szCs w:val="28"/>
              </w:rPr>
            </w:pPr>
            <w:bookmarkStart w:id="0" w:name="_Hlk161815742"/>
            <w:r w:rsidRPr="00671BBE">
              <w:rPr>
                <w:rFonts w:ascii="Arial" w:eastAsia="Calibri" w:hAnsi="Arial" w:cs="Arial"/>
                <w:sz w:val="28"/>
                <w:szCs w:val="28"/>
              </w:rPr>
              <w:t xml:space="preserve">27 February 2024 (to be reviewed when sector data updated has been updated) </w:t>
            </w:r>
          </w:p>
          <w:bookmarkEnd w:id="0"/>
          <w:p w14:paraId="5EECAD52" w14:textId="77777777" w:rsidR="00A83DB6" w:rsidRDefault="00A83DB6" w:rsidP="0005131D">
            <w:pPr>
              <w:rPr>
                <w:rFonts w:ascii="Arial" w:eastAsia="Calibri" w:hAnsi="Arial" w:cs="Arial"/>
                <w:bCs/>
                <w:sz w:val="28"/>
                <w:szCs w:val="28"/>
              </w:rPr>
            </w:pPr>
          </w:p>
        </w:tc>
        <w:tc>
          <w:tcPr>
            <w:tcW w:w="3740" w:type="dxa"/>
          </w:tcPr>
          <w:p w14:paraId="38C2114F" w14:textId="77777777" w:rsidR="00A83DB6" w:rsidRPr="00FF44EA" w:rsidRDefault="00A83DB6" w:rsidP="0005131D">
            <w:pPr>
              <w:rPr>
                <w:rFonts w:ascii="Arial" w:eastAsia="Times New Roman" w:hAnsi="Arial" w:cs="Arial"/>
                <w:sz w:val="28"/>
                <w:szCs w:val="28"/>
              </w:rPr>
            </w:pPr>
            <w:r w:rsidRPr="00671BBE">
              <w:rPr>
                <w:rFonts w:ascii="Arial" w:eastAsia="Times New Roman" w:hAnsi="Arial" w:cs="Arial"/>
                <w:sz w:val="28"/>
                <w:szCs w:val="28"/>
              </w:rPr>
              <w:t>This policy sets out FE sector commitment to supporting bereaved parents through their grief by ensuring they can take parental bereavement leave.  The policy itself does not adversely impact staff from any of the Section 75 equality categories.</w:t>
            </w:r>
          </w:p>
        </w:tc>
      </w:tr>
      <w:tr w:rsidR="00C26B19" w:rsidRPr="00621732" w14:paraId="623491B8" w14:textId="77777777" w:rsidTr="00DA7D47">
        <w:tc>
          <w:tcPr>
            <w:tcW w:w="2689" w:type="dxa"/>
          </w:tcPr>
          <w:p w14:paraId="040D31AE" w14:textId="0F1C8842" w:rsidR="00C26B19" w:rsidRDefault="00C26B19" w:rsidP="00DA7D47">
            <w:pPr>
              <w:rPr>
                <w:rFonts w:ascii="Arial" w:eastAsia="Calibri" w:hAnsi="Arial" w:cs="Arial"/>
                <w:sz w:val="28"/>
                <w:szCs w:val="28"/>
              </w:rPr>
            </w:pPr>
            <w:r>
              <w:rPr>
                <w:rFonts w:ascii="Arial" w:eastAsia="Calibri" w:hAnsi="Arial" w:cs="Arial"/>
                <w:sz w:val="28"/>
                <w:szCs w:val="28"/>
              </w:rPr>
              <w:t>Disaster Recovery Policy</w:t>
            </w:r>
          </w:p>
        </w:tc>
        <w:tc>
          <w:tcPr>
            <w:tcW w:w="5583" w:type="dxa"/>
          </w:tcPr>
          <w:p w14:paraId="339DD0D5" w14:textId="77777777" w:rsidR="00C26B19" w:rsidRPr="00C26B19" w:rsidRDefault="00C26B19" w:rsidP="00C26B19">
            <w:pPr>
              <w:rPr>
                <w:rFonts w:ascii="Arial" w:eastAsia="Times New Roman" w:hAnsi="Arial" w:cs="Arial"/>
                <w:sz w:val="28"/>
                <w:szCs w:val="28"/>
              </w:rPr>
            </w:pPr>
            <w:r w:rsidRPr="00C26B19">
              <w:rPr>
                <w:rFonts w:ascii="Arial" w:eastAsia="Times New Roman" w:hAnsi="Arial" w:cs="Arial"/>
                <w:sz w:val="28"/>
                <w:szCs w:val="28"/>
              </w:rPr>
              <w:t xml:space="preserve">The purpose of this policy is to maximise the effectiveness of disaster recovery and contingency operations through an established plan that consists of a number </w:t>
            </w:r>
            <w:r w:rsidRPr="00C26B19">
              <w:rPr>
                <w:rFonts w:ascii="Arial" w:eastAsia="Times New Roman" w:hAnsi="Arial" w:cs="Arial"/>
                <w:sz w:val="28"/>
                <w:szCs w:val="28"/>
              </w:rPr>
              <w:lastRenderedPageBreak/>
              <w:t>of phases and activities. For example, identify the activities, resources and procedures needed to carry out the College plan to process the requirements during prolonged interruptions to normal operations.  In addition, assign responsibilities to designated College personnel and provide guidance for recovering the plan.</w:t>
            </w:r>
          </w:p>
          <w:p w14:paraId="0937A3CD" w14:textId="77777777" w:rsidR="00C26B19" w:rsidRPr="00A01054" w:rsidRDefault="00C26B19" w:rsidP="00A01054">
            <w:pPr>
              <w:rPr>
                <w:rFonts w:ascii="Arial" w:eastAsia="Times New Roman" w:hAnsi="Arial" w:cs="Arial"/>
                <w:sz w:val="28"/>
                <w:szCs w:val="28"/>
              </w:rPr>
            </w:pPr>
          </w:p>
        </w:tc>
        <w:tc>
          <w:tcPr>
            <w:tcW w:w="1530" w:type="dxa"/>
          </w:tcPr>
          <w:p w14:paraId="36939CCE" w14:textId="3612E077" w:rsidR="00C26B19" w:rsidRDefault="00C26B19" w:rsidP="00DA7D47">
            <w:pPr>
              <w:rPr>
                <w:rFonts w:ascii="Arial" w:eastAsia="Calibri" w:hAnsi="Arial" w:cs="Arial"/>
                <w:bCs/>
                <w:sz w:val="28"/>
                <w:szCs w:val="28"/>
              </w:rPr>
            </w:pPr>
            <w:r>
              <w:rPr>
                <w:rFonts w:ascii="Arial" w:eastAsia="Calibri" w:hAnsi="Arial" w:cs="Arial"/>
                <w:bCs/>
                <w:sz w:val="28"/>
                <w:szCs w:val="28"/>
              </w:rPr>
              <w:lastRenderedPageBreak/>
              <w:t>Existing</w:t>
            </w:r>
          </w:p>
        </w:tc>
        <w:tc>
          <w:tcPr>
            <w:tcW w:w="1959" w:type="dxa"/>
          </w:tcPr>
          <w:p w14:paraId="57F3608E" w14:textId="627A4CDB" w:rsidR="00C26B19" w:rsidRDefault="00C26B19" w:rsidP="00DA7D47">
            <w:pPr>
              <w:rPr>
                <w:rFonts w:ascii="Arial" w:eastAsia="Calibri" w:hAnsi="Arial" w:cs="Arial"/>
                <w:bCs/>
                <w:sz w:val="28"/>
                <w:szCs w:val="28"/>
              </w:rPr>
            </w:pPr>
            <w:r>
              <w:rPr>
                <w:rFonts w:ascii="Arial" w:eastAsia="Calibri" w:hAnsi="Arial" w:cs="Arial"/>
                <w:bCs/>
                <w:sz w:val="28"/>
                <w:szCs w:val="28"/>
              </w:rPr>
              <w:t>6 February 2024</w:t>
            </w:r>
          </w:p>
        </w:tc>
        <w:tc>
          <w:tcPr>
            <w:tcW w:w="3740" w:type="dxa"/>
          </w:tcPr>
          <w:p w14:paraId="2ECBF9A2" w14:textId="16BD519C" w:rsidR="00C26B19" w:rsidRPr="00A01054" w:rsidRDefault="00C26B19" w:rsidP="00BE2939">
            <w:pPr>
              <w:rPr>
                <w:rFonts w:ascii="Arial" w:eastAsia="Times New Roman" w:hAnsi="Arial" w:cs="Arial"/>
                <w:sz w:val="28"/>
                <w:szCs w:val="28"/>
              </w:rPr>
            </w:pPr>
            <w:r w:rsidRPr="00C26B19">
              <w:rPr>
                <w:rFonts w:ascii="Arial" w:eastAsia="Times New Roman" w:hAnsi="Arial" w:cs="Arial"/>
                <w:sz w:val="28"/>
                <w:szCs w:val="28"/>
              </w:rPr>
              <w:t xml:space="preserve">No as policy is guidance to explain the need for IT and Operational requirements during periods of prolonged </w:t>
            </w:r>
            <w:r w:rsidRPr="00C26B19">
              <w:rPr>
                <w:rFonts w:ascii="Arial" w:eastAsia="Times New Roman" w:hAnsi="Arial" w:cs="Arial"/>
                <w:sz w:val="28"/>
                <w:szCs w:val="28"/>
              </w:rPr>
              <w:lastRenderedPageBreak/>
              <w:t>interruptions regardless of equality category</w:t>
            </w:r>
          </w:p>
        </w:tc>
      </w:tr>
      <w:tr w:rsidR="0096322C" w:rsidRPr="00621732" w14:paraId="129ED3C3" w14:textId="77777777" w:rsidTr="00DA7D47">
        <w:tc>
          <w:tcPr>
            <w:tcW w:w="2689" w:type="dxa"/>
          </w:tcPr>
          <w:p w14:paraId="20CC644A" w14:textId="14B017F0" w:rsidR="0096322C" w:rsidRDefault="0096322C" w:rsidP="00DA7D47">
            <w:pPr>
              <w:rPr>
                <w:rFonts w:ascii="Arial" w:eastAsia="Calibri" w:hAnsi="Arial" w:cs="Arial"/>
                <w:sz w:val="28"/>
                <w:szCs w:val="28"/>
              </w:rPr>
            </w:pPr>
            <w:r>
              <w:rPr>
                <w:rFonts w:ascii="Arial" w:eastAsia="Calibri" w:hAnsi="Arial" w:cs="Arial"/>
                <w:sz w:val="28"/>
                <w:szCs w:val="28"/>
              </w:rPr>
              <w:lastRenderedPageBreak/>
              <w:t>IV Moderation Guidelines</w:t>
            </w:r>
          </w:p>
        </w:tc>
        <w:tc>
          <w:tcPr>
            <w:tcW w:w="5583" w:type="dxa"/>
          </w:tcPr>
          <w:p w14:paraId="3D846316" w14:textId="77777777" w:rsidR="0096322C" w:rsidRPr="0096322C" w:rsidRDefault="0096322C" w:rsidP="0096322C">
            <w:pPr>
              <w:rPr>
                <w:rFonts w:ascii="Arial" w:eastAsia="Times New Roman" w:hAnsi="Arial" w:cs="Arial"/>
                <w:sz w:val="28"/>
                <w:szCs w:val="28"/>
              </w:rPr>
            </w:pPr>
            <w:r w:rsidRPr="0096322C">
              <w:rPr>
                <w:rFonts w:ascii="Arial" w:eastAsia="Times New Roman" w:hAnsi="Arial" w:cs="Arial"/>
                <w:sz w:val="28"/>
                <w:szCs w:val="28"/>
              </w:rPr>
              <w:t>This policy aims to;</w:t>
            </w:r>
          </w:p>
          <w:p w14:paraId="1ADA08E7" w14:textId="77777777" w:rsidR="0096322C" w:rsidRPr="0096322C" w:rsidRDefault="0096322C" w:rsidP="0096322C">
            <w:pPr>
              <w:pStyle w:val="ListParagraph"/>
              <w:numPr>
                <w:ilvl w:val="0"/>
                <w:numId w:val="6"/>
              </w:numPr>
              <w:rPr>
                <w:rFonts w:ascii="Arial" w:eastAsia="Times New Roman" w:hAnsi="Arial" w:cs="Arial"/>
                <w:sz w:val="28"/>
                <w:szCs w:val="28"/>
              </w:rPr>
            </w:pPr>
            <w:r w:rsidRPr="0096322C">
              <w:rPr>
                <w:rFonts w:ascii="Arial" w:eastAsia="Times New Roman" w:hAnsi="Arial" w:cs="Arial"/>
                <w:sz w:val="28"/>
                <w:szCs w:val="28"/>
              </w:rPr>
              <w:t>Protect the integrity of the College and awarding bodies/organisations</w:t>
            </w:r>
          </w:p>
          <w:p w14:paraId="39944B74" w14:textId="77777777" w:rsidR="0096322C" w:rsidRPr="0096322C" w:rsidRDefault="0096322C" w:rsidP="0096322C">
            <w:pPr>
              <w:pStyle w:val="ListParagraph"/>
              <w:numPr>
                <w:ilvl w:val="0"/>
                <w:numId w:val="6"/>
              </w:numPr>
              <w:rPr>
                <w:rFonts w:ascii="Arial" w:eastAsia="Times New Roman" w:hAnsi="Arial" w:cs="Arial"/>
                <w:sz w:val="28"/>
                <w:szCs w:val="28"/>
              </w:rPr>
            </w:pPr>
            <w:r w:rsidRPr="0096322C">
              <w:rPr>
                <w:rFonts w:ascii="Arial" w:eastAsia="Times New Roman" w:hAnsi="Arial" w:cs="Arial"/>
                <w:sz w:val="28"/>
                <w:szCs w:val="28"/>
              </w:rPr>
              <w:t>Protect the quality of qualifications achieved maintaining public confidence in every qualification</w:t>
            </w:r>
          </w:p>
          <w:p w14:paraId="091F6A33" w14:textId="77777777" w:rsidR="0096322C" w:rsidRPr="0096322C" w:rsidRDefault="0096322C" w:rsidP="0096322C">
            <w:pPr>
              <w:pStyle w:val="ListParagraph"/>
              <w:numPr>
                <w:ilvl w:val="0"/>
                <w:numId w:val="6"/>
              </w:numPr>
              <w:rPr>
                <w:rFonts w:ascii="Arial" w:eastAsia="Times New Roman" w:hAnsi="Arial" w:cs="Arial"/>
                <w:sz w:val="28"/>
                <w:szCs w:val="28"/>
              </w:rPr>
            </w:pPr>
            <w:r w:rsidRPr="0096322C">
              <w:rPr>
                <w:rFonts w:ascii="Arial" w:eastAsia="Times New Roman" w:hAnsi="Arial" w:cs="Arial"/>
                <w:sz w:val="28"/>
                <w:szCs w:val="28"/>
              </w:rPr>
              <w:t>To provide guidance to staff and students in relation to internal verification/moderation/quality assurance processes;</w:t>
            </w:r>
          </w:p>
          <w:p w14:paraId="1539DDD4" w14:textId="77777777" w:rsidR="0096322C" w:rsidRPr="0096322C" w:rsidRDefault="0096322C" w:rsidP="0096322C">
            <w:pPr>
              <w:pStyle w:val="ListParagraph"/>
              <w:numPr>
                <w:ilvl w:val="0"/>
                <w:numId w:val="6"/>
              </w:numPr>
              <w:rPr>
                <w:rFonts w:ascii="Arial" w:eastAsia="Times New Roman" w:hAnsi="Arial" w:cs="Arial"/>
                <w:sz w:val="28"/>
                <w:szCs w:val="28"/>
              </w:rPr>
            </w:pPr>
            <w:r w:rsidRPr="0096322C">
              <w:rPr>
                <w:rFonts w:ascii="Arial" w:eastAsia="Times New Roman" w:hAnsi="Arial" w:cs="Arial"/>
                <w:sz w:val="28"/>
                <w:szCs w:val="28"/>
              </w:rPr>
              <w:t>To enhance best practice in Staff Development in the support of quality and standards</w:t>
            </w:r>
          </w:p>
          <w:p w14:paraId="67FFC370" w14:textId="77777777" w:rsidR="0096322C" w:rsidRPr="0096322C" w:rsidRDefault="0096322C" w:rsidP="0096322C">
            <w:pPr>
              <w:pStyle w:val="ListParagraph"/>
              <w:numPr>
                <w:ilvl w:val="0"/>
                <w:numId w:val="6"/>
              </w:numPr>
              <w:rPr>
                <w:rFonts w:ascii="Arial" w:eastAsia="Times New Roman" w:hAnsi="Arial" w:cs="Arial"/>
                <w:sz w:val="28"/>
                <w:szCs w:val="28"/>
              </w:rPr>
            </w:pPr>
            <w:r w:rsidRPr="0096322C">
              <w:rPr>
                <w:rFonts w:ascii="Arial" w:eastAsia="Times New Roman" w:hAnsi="Arial" w:cs="Arial"/>
                <w:sz w:val="28"/>
                <w:szCs w:val="28"/>
              </w:rPr>
              <w:t>To reduce risk of error resulting in interventions from the Awarding Organisations</w:t>
            </w:r>
          </w:p>
          <w:p w14:paraId="5C303343" w14:textId="59F98D15" w:rsidR="0096322C" w:rsidRPr="00C26B19" w:rsidRDefault="0096322C" w:rsidP="0096322C">
            <w:pPr>
              <w:rPr>
                <w:rFonts w:ascii="Arial" w:eastAsia="Times New Roman" w:hAnsi="Arial" w:cs="Arial"/>
                <w:sz w:val="28"/>
                <w:szCs w:val="28"/>
              </w:rPr>
            </w:pPr>
            <w:r w:rsidRPr="0096322C">
              <w:rPr>
                <w:rFonts w:ascii="Arial" w:eastAsia="Times New Roman" w:hAnsi="Arial" w:cs="Arial"/>
                <w:sz w:val="28"/>
                <w:szCs w:val="28"/>
                <w:lang w:val="en-US"/>
              </w:rPr>
              <w:lastRenderedPageBreak/>
              <w:t>The policy was updated to comply with all main awarding bodies/organisations</w:t>
            </w:r>
          </w:p>
        </w:tc>
        <w:tc>
          <w:tcPr>
            <w:tcW w:w="1530" w:type="dxa"/>
          </w:tcPr>
          <w:p w14:paraId="402B7D03" w14:textId="41DC2F8E" w:rsidR="0096322C" w:rsidRDefault="0096322C" w:rsidP="00DA7D47">
            <w:pPr>
              <w:rPr>
                <w:rFonts w:ascii="Arial" w:eastAsia="Calibri" w:hAnsi="Arial" w:cs="Arial"/>
                <w:bCs/>
                <w:sz w:val="28"/>
                <w:szCs w:val="28"/>
              </w:rPr>
            </w:pPr>
            <w:r>
              <w:rPr>
                <w:rFonts w:ascii="Arial" w:eastAsia="Calibri" w:hAnsi="Arial" w:cs="Arial"/>
                <w:bCs/>
                <w:sz w:val="28"/>
                <w:szCs w:val="28"/>
              </w:rPr>
              <w:lastRenderedPageBreak/>
              <w:t>Revised</w:t>
            </w:r>
          </w:p>
        </w:tc>
        <w:tc>
          <w:tcPr>
            <w:tcW w:w="1959" w:type="dxa"/>
          </w:tcPr>
          <w:p w14:paraId="5F67B69A" w14:textId="670A33A3" w:rsidR="0096322C" w:rsidRDefault="0096322C" w:rsidP="00DA7D47">
            <w:pPr>
              <w:rPr>
                <w:rFonts w:ascii="Arial" w:eastAsia="Calibri" w:hAnsi="Arial" w:cs="Arial"/>
                <w:bCs/>
                <w:sz w:val="28"/>
                <w:szCs w:val="28"/>
              </w:rPr>
            </w:pPr>
            <w:r>
              <w:rPr>
                <w:rFonts w:ascii="Arial" w:eastAsia="Calibri" w:hAnsi="Arial" w:cs="Arial"/>
                <w:bCs/>
                <w:sz w:val="28"/>
                <w:szCs w:val="28"/>
              </w:rPr>
              <w:t>19 February 2024</w:t>
            </w:r>
          </w:p>
        </w:tc>
        <w:tc>
          <w:tcPr>
            <w:tcW w:w="3740" w:type="dxa"/>
          </w:tcPr>
          <w:p w14:paraId="01C5CD4A" w14:textId="77777777" w:rsidR="0096322C" w:rsidRPr="0096322C" w:rsidRDefault="0096322C" w:rsidP="0096322C">
            <w:pPr>
              <w:rPr>
                <w:rFonts w:ascii="Arial" w:eastAsia="Times New Roman" w:hAnsi="Arial" w:cs="Arial"/>
                <w:sz w:val="28"/>
                <w:szCs w:val="28"/>
              </w:rPr>
            </w:pPr>
            <w:r w:rsidRPr="0096322C">
              <w:rPr>
                <w:rFonts w:ascii="Arial" w:eastAsia="Times New Roman" w:hAnsi="Arial" w:cs="Arial"/>
                <w:sz w:val="28"/>
                <w:szCs w:val="28"/>
              </w:rPr>
              <w:t>The policy provides guidance to staff on how to carry out moderation on assessment and ensure standardisation of marking. The policy has no impact on equality.</w:t>
            </w:r>
          </w:p>
          <w:p w14:paraId="28D51BF8" w14:textId="77777777" w:rsidR="0096322C" w:rsidRPr="00C26B19" w:rsidRDefault="0096322C" w:rsidP="00BE2939">
            <w:pPr>
              <w:rPr>
                <w:rFonts w:ascii="Arial" w:eastAsia="Times New Roman" w:hAnsi="Arial" w:cs="Arial"/>
                <w:sz w:val="28"/>
                <w:szCs w:val="28"/>
              </w:rPr>
            </w:pPr>
          </w:p>
        </w:tc>
      </w:tr>
      <w:tr w:rsidR="0096322C" w:rsidRPr="00621732" w14:paraId="18CE9C6A" w14:textId="77777777" w:rsidTr="00DA7D47">
        <w:tc>
          <w:tcPr>
            <w:tcW w:w="2689" w:type="dxa"/>
          </w:tcPr>
          <w:p w14:paraId="07CCB3C1" w14:textId="54983874" w:rsidR="0096322C" w:rsidRDefault="0096322C" w:rsidP="00DA7D47">
            <w:pPr>
              <w:rPr>
                <w:rFonts w:ascii="Arial" w:eastAsia="Calibri" w:hAnsi="Arial" w:cs="Arial"/>
                <w:sz w:val="28"/>
                <w:szCs w:val="28"/>
              </w:rPr>
            </w:pPr>
            <w:r>
              <w:rPr>
                <w:rFonts w:ascii="Arial" w:eastAsia="Calibri" w:hAnsi="Arial" w:cs="Arial"/>
                <w:sz w:val="28"/>
                <w:szCs w:val="28"/>
              </w:rPr>
              <w:t>Centre Assessment and Progression Policy</w:t>
            </w:r>
          </w:p>
        </w:tc>
        <w:tc>
          <w:tcPr>
            <w:tcW w:w="5583" w:type="dxa"/>
          </w:tcPr>
          <w:p w14:paraId="5318B653" w14:textId="54F7B6BB" w:rsidR="0096322C" w:rsidRPr="00C26B19" w:rsidRDefault="0096322C" w:rsidP="0096322C">
            <w:pPr>
              <w:rPr>
                <w:rFonts w:ascii="Arial" w:eastAsia="Times New Roman" w:hAnsi="Arial" w:cs="Arial"/>
                <w:sz w:val="28"/>
                <w:szCs w:val="28"/>
              </w:rPr>
            </w:pPr>
            <w:r w:rsidRPr="0096322C">
              <w:rPr>
                <w:rFonts w:ascii="Arial" w:eastAsia="Times New Roman" w:hAnsi="Arial" w:cs="Arial"/>
                <w:iCs/>
                <w:sz w:val="28"/>
                <w:szCs w:val="28"/>
              </w:rPr>
              <w:t xml:space="preserve">To ensure that a robust assessment model is in place </w:t>
            </w:r>
          </w:p>
        </w:tc>
        <w:tc>
          <w:tcPr>
            <w:tcW w:w="1530" w:type="dxa"/>
          </w:tcPr>
          <w:p w14:paraId="7617655E" w14:textId="0155007F" w:rsidR="0096322C" w:rsidRDefault="0096322C" w:rsidP="00DA7D47">
            <w:pPr>
              <w:rPr>
                <w:rFonts w:ascii="Arial" w:eastAsia="Calibri" w:hAnsi="Arial" w:cs="Arial"/>
                <w:bCs/>
                <w:sz w:val="28"/>
                <w:szCs w:val="28"/>
              </w:rPr>
            </w:pPr>
            <w:r>
              <w:rPr>
                <w:rFonts w:ascii="Arial" w:eastAsia="Calibri" w:hAnsi="Arial" w:cs="Arial"/>
                <w:bCs/>
                <w:sz w:val="28"/>
                <w:szCs w:val="28"/>
              </w:rPr>
              <w:t>Revised</w:t>
            </w:r>
          </w:p>
        </w:tc>
        <w:tc>
          <w:tcPr>
            <w:tcW w:w="1959" w:type="dxa"/>
          </w:tcPr>
          <w:p w14:paraId="7A98B178" w14:textId="53C0AA10" w:rsidR="0096322C" w:rsidRDefault="0096322C" w:rsidP="00DA7D47">
            <w:pPr>
              <w:rPr>
                <w:rFonts w:ascii="Arial" w:eastAsia="Calibri" w:hAnsi="Arial" w:cs="Arial"/>
                <w:bCs/>
                <w:sz w:val="28"/>
                <w:szCs w:val="28"/>
              </w:rPr>
            </w:pPr>
            <w:r>
              <w:rPr>
                <w:rFonts w:ascii="Arial" w:eastAsia="Calibri" w:hAnsi="Arial" w:cs="Arial"/>
                <w:bCs/>
                <w:sz w:val="28"/>
                <w:szCs w:val="28"/>
              </w:rPr>
              <w:t>19 February 2024</w:t>
            </w:r>
          </w:p>
        </w:tc>
        <w:tc>
          <w:tcPr>
            <w:tcW w:w="3740" w:type="dxa"/>
          </w:tcPr>
          <w:p w14:paraId="4EDD3F34" w14:textId="61CF5390" w:rsidR="0096322C" w:rsidRPr="00C26B19" w:rsidRDefault="0096322C" w:rsidP="00BE2939">
            <w:pPr>
              <w:rPr>
                <w:rFonts w:ascii="Arial" w:eastAsia="Times New Roman" w:hAnsi="Arial" w:cs="Arial"/>
                <w:sz w:val="28"/>
                <w:szCs w:val="28"/>
              </w:rPr>
            </w:pPr>
            <w:r w:rsidRPr="0096322C">
              <w:rPr>
                <w:rFonts w:ascii="Arial" w:eastAsia="Times New Roman" w:hAnsi="Arial" w:cs="Arial"/>
                <w:sz w:val="28"/>
                <w:szCs w:val="28"/>
              </w:rPr>
              <w:t>The policy provides guidance to staff and students on the process for centre assessment. The policy has no impact on equality</w:t>
            </w:r>
            <w:r>
              <w:rPr>
                <w:rFonts w:ascii="Arial" w:eastAsia="Times New Roman" w:hAnsi="Arial" w:cs="Arial"/>
                <w:sz w:val="28"/>
                <w:szCs w:val="28"/>
              </w:rPr>
              <w:t>.</w:t>
            </w:r>
          </w:p>
        </w:tc>
      </w:tr>
      <w:tr w:rsidR="00012F8E" w:rsidRPr="00621732" w14:paraId="6C002BB0" w14:textId="77777777" w:rsidTr="00DA7D47">
        <w:tc>
          <w:tcPr>
            <w:tcW w:w="2689" w:type="dxa"/>
          </w:tcPr>
          <w:p w14:paraId="1B830CE8" w14:textId="65209F9E" w:rsidR="00012F8E" w:rsidRPr="00D87922" w:rsidRDefault="00524645" w:rsidP="00DA7D47">
            <w:pPr>
              <w:rPr>
                <w:rFonts w:ascii="Arial" w:eastAsia="Calibri" w:hAnsi="Arial" w:cs="Arial"/>
                <w:sz w:val="28"/>
                <w:szCs w:val="28"/>
              </w:rPr>
            </w:pPr>
            <w:r w:rsidRPr="00CA07A5">
              <w:rPr>
                <w:rFonts w:ascii="Arial" w:eastAsia="Calibri" w:hAnsi="Arial" w:cs="Arial"/>
                <w:sz w:val="28"/>
                <w:szCs w:val="28"/>
              </w:rPr>
              <w:t>International Mobilities Guidelines</w:t>
            </w:r>
          </w:p>
        </w:tc>
        <w:tc>
          <w:tcPr>
            <w:tcW w:w="5583" w:type="dxa"/>
          </w:tcPr>
          <w:p w14:paraId="67C69806" w14:textId="77777777" w:rsidR="00CA07A5" w:rsidRPr="00CA07A5" w:rsidRDefault="00CA07A5" w:rsidP="00CA07A5">
            <w:pPr>
              <w:rPr>
                <w:rFonts w:ascii="Arial" w:eastAsia="Times New Roman" w:hAnsi="Arial" w:cs="Arial"/>
                <w:sz w:val="28"/>
                <w:szCs w:val="28"/>
              </w:rPr>
            </w:pPr>
            <w:r w:rsidRPr="00CA07A5">
              <w:rPr>
                <w:rFonts w:ascii="Arial" w:eastAsia="Times New Roman" w:hAnsi="Arial" w:cs="Arial"/>
                <w:sz w:val="28"/>
                <w:szCs w:val="28"/>
              </w:rPr>
              <w:t>Mobilities projects are an important source of funds that allow the College to involve staff and student in activities that may otherwise not occur. Such activities include student/staff international trips, sharing good practice with other colleges, both locally and internationally, and developing innovative programmes and products.</w:t>
            </w:r>
          </w:p>
          <w:p w14:paraId="48C31876" w14:textId="77777777" w:rsidR="00CA07A5" w:rsidRPr="00CA07A5" w:rsidRDefault="00CA07A5" w:rsidP="00CA07A5">
            <w:pPr>
              <w:rPr>
                <w:rFonts w:ascii="Arial" w:eastAsia="Times New Roman" w:hAnsi="Arial" w:cs="Arial"/>
                <w:sz w:val="28"/>
                <w:szCs w:val="28"/>
              </w:rPr>
            </w:pPr>
          </w:p>
          <w:p w14:paraId="7F8E517D" w14:textId="3014B87B" w:rsidR="00CA07A5" w:rsidRPr="00CA07A5" w:rsidRDefault="00CA07A5" w:rsidP="00CA07A5">
            <w:pPr>
              <w:rPr>
                <w:rFonts w:ascii="Arial" w:eastAsia="Times New Roman" w:hAnsi="Arial" w:cs="Arial"/>
                <w:sz w:val="28"/>
                <w:szCs w:val="28"/>
              </w:rPr>
            </w:pPr>
            <w:r w:rsidRPr="00CA07A5">
              <w:rPr>
                <w:rFonts w:ascii="Arial" w:eastAsia="Times New Roman" w:hAnsi="Arial" w:cs="Arial"/>
                <w:sz w:val="28"/>
                <w:szCs w:val="28"/>
              </w:rPr>
              <w:t xml:space="preserve">The European &amp; International Project Officer implements the policy under the direction of Head of Client </w:t>
            </w:r>
            <w:r>
              <w:rPr>
                <w:rFonts w:ascii="Arial" w:eastAsia="Times New Roman" w:hAnsi="Arial" w:cs="Arial"/>
                <w:sz w:val="28"/>
                <w:szCs w:val="28"/>
              </w:rPr>
              <w:t>S</w:t>
            </w:r>
            <w:r w:rsidRPr="00CA07A5">
              <w:rPr>
                <w:rFonts w:ascii="Arial" w:eastAsia="Times New Roman" w:hAnsi="Arial" w:cs="Arial"/>
                <w:sz w:val="28"/>
                <w:szCs w:val="28"/>
              </w:rPr>
              <w:t>ervices.</w:t>
            </w:r>
          </w:p>
          <w:p w14:paraId="56033D70" w14:textId="77777777" w:rsidR="00012F8E" w:rsidRDefault="00012F8E" w:rsidP="00DA7D47">
            <w:pPr>
              <w:rPr>
                <w:rFonts w:ascii="Arial" w:eastAsia="Times New Roman" w:hAnsi="Arial" w:cs="Arial"/>
                <w:sz w:val="28"/>
                <w:szCs w:val="28"/>
              </w:rPr>
            </w:pPr>
          </w:p>
        </w:tc>
        <w:tc>
          <w:tcPr>
            <w:tcW w:w="1530" w:type="dxa"/>
          </w:tcPr>
          <w:p w14:paraId="5558E29A" w14:textId="14DB390E" w:rsidR="00012F8E" w:rsidRDefault="00CA07A5" w:rsidP="00DA7D47">
            <w:pPr>
              <w:rPr>
                <w:rFonts w:ascii="Arial" w:eastAsia="Calibri" w:hAnsi="Arial" w:cs="Arial"/>
                <w:bCs/>
                <w:sz w:val="28"/>
                <w:szCs w:val="28"/>
              </w:rPr>
            </w:pPr>
            <w:r>
              <w:rPr>
                <w:rFonts w:ascii="Arial" w:eastAsia="Calibri" w:hAnsi="Arial" w:cs="Arial"/>
                <w:bCs/>
                <w:sz w:val="28"/>
                <w:szCs w:val="28"/>
              </w:rPr>
              <w:t>Revised</w:t>
            </w:r>
          </w:p>
        </w:tc>
        <w:tc>
          <w:tcPr>
            <w:tcW w:w="1959" w:type="dxa"/>
          </w:tcPr>
          <w:p w14:paraId="4DFA23E2" w14:textId="55031B90" w:rsidR="00012F8E" w:rsidRDefault="00CA07A5" w:rsidP="00DA7D47">
            <w:pPr>
              <w:rPr>
                <w:rFonts w:ascii="Arial" w:eastAsia="Calibri" w:hAnsi="Arial" w:cs="Arial"/>
                <w:bCs/>
                <w:sz w:val="28"/>
                <w:szCs w:val="28"/>
              </w:rPr>
            </w:pPr>
            <w:r>
              <w:rPr>
                <w:rFonts w:ascii="Arial" w:eastAsia="Calibri" w:hAnsi="Arial" w:cs="Arial"/>
                <w:bCs/>
                <w:sz w:val="28"/>
                <w:szCs w:val="28"/>
              </w:rPr>
              <w:t>22 February 2024</w:t>
            </w:r>
          </w:p>
        </w:tc>
        <w:tc>
          <w:tcPr>
            <w:tcW w:w="3740" w:type="dxa"/>
          </w:tcPr>
          <w:p w14:paraId="103F6B33" w14:textId="3E534F71" w:rsidR="00012F8E" w:rsidRDefault="00CA07A5" w:rsidP="00DA7D47">
            <w:pPr>
              <w:rPr>
                <w:rFonts w:ascii="Arial" w:eastAsia="Times New Roman" w:hAnsi="Arial" w:cs="Arial"/>
                <w:sz w:val="28"/>
                <w:szCs w:val="28"/>
              </w:rPr>
            </w:pPr>
            <w:r w:rsidRPr="00CA07A5">
              <w:rPr>
                <w:rFonts w:ascii="Arial" w:eastAsia="Times New Roman" w:hAnsi="Arial" w:cs="Arial"/>
                <w:sz w:val="28"/>
                <w:szCs w:val="28"/>
              </w:rPr>
              <w:t>This policy is applicable to all students regardless of their section 75 categories.  The purpose of this guidance is to provide administrative guidance on how to submit funding applications, administer and project manage international mobility opportunities for staff and students. All staff and students will be treated equally therefore there is no adverse impact on staff and students.</w:t>
            </w:r>
          </w:p>
        </w:tc>
      </w:tr>
      <w:tr w:rsidR="00C03150" w:rsidRPr="00621732" w14:paraId="526612C6" w14:textId="77777777" w:rsidTr="0015008F">
        <w:tc>
          <w:tcPr>
            <w:tcW w:w="2689" w:type="dxa"/>
          </w:tcPr>
          <w:p w14:paraId="4D30E65C" w14:textId="77777777" w:rsidR="00A01054" w:rsidRPr="00A83DB6" w:rsidRDefault="00A01054" w:rsidP="00A01054">
            <w:pPr>
              <w:rPr>
                <w:rFonts w:ascii="Arial" w:eastAsia="Calibri" w:hAnsi="Arial" w:cs="Arial"/>
                <w:sz w:val="28"/>
                <w:szCs w:val="28"/>
              </w:rPr>
            </w:pPr>
            <w:r w:rsidRPr="00A83DB6">
              <w:rPr>
                <w:rFonts w:ascii="Arial" w:eastAsia="Calibri" w:hAnsi="Arial" w:cs="Arial"/>
                <w:sz w:val="28"/>
                <w:szCs w:val="28"/>
              </w:rPr>
              <w:t>UK GDPR Guide to Photography/</w:t>
            </w:r>
          </w:p>
          <w:p w14:paraId="6802359B" w14:textId="77777777" w:rsidR="00A01054" w:rsidRPr="00A01054" w:rsidRDefault="00A01054" w:rsidP="00A01054">
            <w:pPr>
              <w:rPr>
                <w:rFonts w:ascii="Arial" w:eastAsia="Calibri" w:hAnsi="Arial" w:cs="Arial"/>
                <w:sz w:val="28"/>
                <w:szCs w:val="28"/>
              </w:rPr>
            </w:pPr>
            <w:r w:rsidRPr="00A83DB6">
              <w:rPr>
                <w:rFonts w:ascii="Arial" w:eastAsia="Calibri" w:hAnsi="Arial" w:cs="Arial"/>
                <w:sz w:val="28"/>
                <w:szCs w:val="28"/>
              </w:rPr>
              <w:t>Videography</w:t>
            </w:r>
            <w:r w:rsidRPr="00A01054">
              <w:rPr>
                <w:rFonts w:ascii="Arial" w:eastAsia="Calibri" w:hAnsi="Arial" w:cs="Arial"/>
                <w:sz w:val="28"/>
                <w:szCs w:val="28"/>
              </w:rPr>
              <w:t xml:space="preserve"> </w:t>
            </w:r>
          </w:p>
          <w:p w14:paraId="063B69E8" w14:textId="1959E823" w:rsidR="00C03150" w:rsidRPr="00D87922" w:rsidRDefault="00C03150" w:rsidP="00621732">
            <w:pPr>
              <w:rPr>
                <w:rFonts w:ascii="Arial" w:eastAsia="Calibri" w:hAnsi="Arial" w:cs="Arial"/>
                <w:sz w:val="28"/>
                <w:szCs w:val="28"/>
              </w:rPr>
            </w:pPr>
          </w:p>
        </w:tc>
        <w:tc>
          <w:tcPr>
            <w:tcW w:w="5583" w:type="dxa"/>
          </w:tcPr>
          <w:p w14:paraId="305AAB85" w14:textId="0396F8B7" w:rsidR="00C03150" w:rsidRPr="00994BEE" w:rsidRDefault="00A83DB6" w:rsidP="00994BEE">
            <w:pPr>
              <w:rPr>
                <w:rFonts w:ascii="Arial" w:eastAsia="Times New Roman" w:hAnsi="Arial" w:cs="Arial"/>
                <w:sz w:val="28"/>
                <w:szCs w:val="28"/>
              </w:rPr>
            </w:pPr>
            <w:r w:rsidRPr="00A83DB6">
              <w:rPr>
                <w:rFonts w:ascii="Arial" w:eastAsia="Times New Roman" w:hAnsi="Arial" w:cs="Arial"/>
                <w:sz w:val="28"/>
                <w:szCs w:val="28"/>
              </w:rPr>
              <w:lastRenderedPageBreak/>
              <w:t xml:space="preserve">The policy aims to assist staff in the correct application of data protection regulations when taking photographs or videos.  The </w:t>
            </w:r>
            <w:r w:rsidRPr="00A83DB6">
              <w:rPr>
                <w:rFonts w:ascii="Arial" w:eastAsia="Times New Roman" w:hAnsi="Arial" w:cs="Arial"/>
                <w:sz w:val="28"/>
                <w:szCs w:val="28"/>
              </w:rPr>
              <w:lastRenderedPageBreak/>
              <w:t>guidance document will ensure the appropriate signage and awareness procedures are carried out by staff when inviting individuals to events etc</w:t>
            </w:r>
          </w:p>
        </w:tc>
        <w:tc>
          <w:tcPr>
            <w:tcW w:w="1530" w:type="dxa"/>
          </w:tcPr>
          <w:p w14:paraId="2172D6AC" w14:textId="30FDFC6F" w:rsidR="00C03150" w:rsidRDefault="00A83DB6" w:rsidP="00621732">
            <w:pPr>
              <w:rPr>
                <w:rFonts w:ascii="Arial" w:eastAsia="Calibri" w:hAnsi="Arial" w:cs="Arial"/>
                <w:bCs/>
                <w:sz w:val="28"/>
                <w:szCs w:val="28"/>
              </w:rPr>
            </w:pPr>
            <w:r>
              <w:rPr>
                <w:rFonts w:ascii="Arial" w:eastAsia="Calibri" w:hAnsi="Arial" w:cs="Arial"/>
                <w:bCs/>
                <w:sz w:val="28"/>
                <w:szCs w:val="28"/>
              </w:rPr>
              <w:lastRenderedPageBreak/>
              <w:t>Existing</w:t>
            </w:r>
          </w:p>
        </w:tc>
        <w:tc>
          <w:tcPr>
            <w:tcW w:w="1959" w:type="dxa"/>
          </w:tcPr>
          <w:p w14:paraId="4DA257A7" w14:textId="1898AB5B" w:rsidR="00C03150" w:rsidRDefault="00A83DB6" w:rsidP="00621732">
            <w:pPr>
              <w:rPr>
                <w:rFonts w:ascii="Arial" w:eastAsia="Calibri" w:hAnsi="Arial" w:cs="Arial"/>
                <w:bCs/>
                <w:sz w:val="28"/>
                <w:szCs w:val="28"/>
              </w:rPr>
            </w:pPr>
            <w:r>
              <w:rPr>
                <w:rFonts w:ascii="Arial" w:eastAsia="Calibri" w:hAnsi="Arial" w:cs="Arial"/>
                <w:bCs/>
                <w:sz w:val="28"/>
                <w:szCs w:val="28"/>
              </w:rPr>
              <w:t>27 February 2024</w:t>
            </w:r>
          </w:p>
        </w:tc>
        <w:tc>
          <w:tcPr>
            <w:tcW w:w="3740" w:type="dxa"/>
          </w:tcPr>
          <w:p w14:paraId="161671A2" w14:textId="77777777" w:rsidR="00A83DB6" w:rsidRPr="00A83DB6" w:rsidRDefault="00A83DB6" w:rsidP="00A83DB6">
            <w:pPr>
              <w:rPr>
                <w:rFonts w:ascii="Arial" w:eastAsia="Times New Roman" w:hAnsi="Arial" w:cs="Arial"/>
                <w:sz w:val="28"/>
                <w:szCs w:val="28"/>
              </w:rPr>
            </w:pPr>
            <w:r w:rsidRPr="00A83DB6">
              <w:rPr>
                <w:rFonts w:ascii="Arial" w:eastAsia="Times New Roman" w:hAnsi="Arial" w:cs="Arial"/>
                <w:sz w:val="28"/>
                <w:szCs w:val="28"/>
              </w:rPr>
              <w:t>This policy has no adverse impact on any of the s.75 categories</w:t>
            </w:r>
          </w:p>
          <w:p w14:paraId="68099355" w14:textId="16BB5ABD" w:rsidR="00C03150" w:rsidRPr="00994BEE" w:rsidRDefault="00C03150" w:rsidP="00621732">
            <w:pPr>
              <w:rPr>
                <w:rFonts w:ascii="Arial" w:eastAsia="Times New Roman" w:hAnsi="Arial" w:cs="Arial"/>
                <w:sz w:val="28"/>
                <w:szCs w:val="28"/>
              </w:rPr>
            </w:pPr>
          </w:p>
        </w:tc>
      </w:tr>
      <w:tr w:rsidR="00C813E7" w:rsidRPr="00621732" w14:paraId="42FA9452" w14:textId="77777777" w:rsidTr="00515A8D">
        <w:tc>
          <w:tcPr>
            <w:tcW w:w="2689" w:type="dxa"/>
          </w:tcPr>
          <w:p w14:paraId="63B7110D" w14:textId="77777777" w:rsidR="00C813E7" w:rsidRPr="00D87922" w:rsidRDefault="00C813E7" w:rsidP="00515A8D">
            <w:pPr>
              <w:rPr>
                <w:rFonts w:ascii="Arial" w:eastAsia="Calibri" w:hAnsi="Arial" w:cs="Arial"/>
                <w:sz w:val="28"/>
                <w:szCs w:val="28"/>
              </w:rPr>
            </w:pPr>
            <w:r w:rsidRPr="00C813E7">
              <w:rPr>
                <w:rFonts w:ascii="Arial" w:eastAsia="Calibri" w:hAnsi="Arial" w:cs="Arial"/>
                <w:sz w:val="28"/>
                <w:szCs w:val="28"/>
              </w:rPr>
              <w:lastRenderedPageBreak/>
              <w:t>Safeguarding, Care and Welfare Policy</w:t>
            </w:r>
          </w:p>
        </w:tc>
        <w:tc>
          <w:tcPr>
            <w:tcW w:w="5583" w:type="dxa"/>
          </w:tcPr>
          <w:p w14:paraId="0116082D" w14:textId="77777777" w:rsidR="00C813E7" w:rsidRPr="00C813E7" w:rsidRDefault="00C813E7" w:rsidP="00515A8D">
            <w:pPr>
              <w:rPr>
                <w:rFonts w:ascii="Arial" w:eastAsia="Times New Roman" w:hAnsi="Arial" w:cs="Arial"/>
                <w:sz w:val="28"/>
                <w:szCs w:val="28"/>
              </w:rPr>
            </w:pPr>
            <w:r>
              <w:rPr>
                <w:rFonts w:ascii="Arial" w:eastAsia="Times New Roman" w:hAnsi="Arial" w:cs="Arial"/>
                <w:sz w:val="28"/>
                <w:szCs w:val="28"/>
              </w:rPr>
              <w:t xml:space="preserve"> </w:t>
            </w:r>
            <w:r w:rsidRPr="00C813E7">
              <w:rPr>
                <w:rFonts w:ascii="Arial" w:eastAsia="Times New Roman" w:hAnsi="Arial" w:cs="Arial"/>
                <w:sz w:val="28"/>
                <w:szCs w:val="28"/>
              </w:rPr>
              <w:t>The purpose of this policy is to ensure that all students, staff and stakeholders of the College experience an inclusive, enjoyable and safe environment in which they feel respected and valued.  The college shares an objective to keep children, young people, adults at risk and adults in need of protection safe from harm.  This policy is built upon a foundation of zero tolerance of harm to all children, young people, adults at risk and adults in need of protection and is aligned to the Northern Ireland Adult Safeguarding Partnership (NIASP) statement “Safeguarding is everyone’s business”.</w:t>
            </w:r>
          </w:p>
          <w:p w14:paraId="454461C4" w14:textId="77777777" w:rsidR="00C813E7" w:rsidRPr="00823FD9" w:rsidRDefault="00C813E7" w:rsidP="00515A8D">
            <w:pPr>
              <w:rPr>
                <w:rFonts w:ascii="Arial" w:eastAsia="Times New Roman" w:hAnsi="Arial" w:cs="Arial"/>
                <w:b/>
                <w:bCs/>
                <w:sz w:val="28"/>
                <w:szCs w:val="28"/>
              </w:rPr>
            </w:pPr>
          </w:p>
          <w:p w14:paraId="6B67779D" w14:textId="77777777" w:rsidR="00C813E7" w:rsidRDefault="00C813E7" w:rsidP="00515A8D">
            <w:pPr>
              <w:rPr>
                <w:rFonts w:ascii="Arial" w:eastAsia="Times New Roman" w:hAnsi="Arial" w:cs="Arial"/>
                <w:sz w:val="28"/>
                <w:szCs w:val="28"/>
              </w:rPr>
            </w:pPr>
          </w:p>
        </w:tc>
        <w:tc>
          <w:tcPr>
            <w:tcW w:w="1530" w:type="dxa"/>
          </w:tcPr>
          <w:p w14:paraId="7B64BE6A" w14:textId="77777777" w:rsidR="00C813E7" w:rsidRDefault="00C813E7" w:rsidP="00515A8D">
            <w:pPr>
              <w:rPr>
                <w:rFonts w:ascii="Arial" w:eastAsia="Calibri" w:hAnsi="Arial" w:cs="Arial"/>
                <w:bCs/>
                <w:sz w:val="28"/>
                <w:szCs w:val="28"/>
              </w:rPr>
            </w:pPr>
            <w:r>
              <w:rPr>
                <w:rFonts w:ascii="Arial" w:eastAsia="Calibri" w:hAnsi="Arial" w:cs="Arial"/>
                <w:bCs/>
                <w:sz w:val="28"/>
                <w:szCs w:val="28"/>
              </w:rPr>
              <w:t xml:space="preserve"> Revised</w:t>
            </w:r>
          </w:p>
        </w:tc>
        <w:tc>
          <w:tcPr>
            <w:tcW w:w="1959" w:type="dxa"/>
          </w:tcPr>
          <w:p w14:paraId="62E9D66D" w14:textId="0B9C1257" w:rsidR="00C813E7" w:rsidRDefault="00C813E7" w:rsidP="00515A8D">
            <w:pPr>
              <w:rPr>
                <w:rFonts w:ascii="Arial" w:eastAsia="Calibri" w:hAnsi="Arial" w:cs="Arial"/>
                <w:bCs/>
                <w:sz w:val="28"/>
                <w:szCs w:val="28"/>
              </w:rPr>
            </w:pPr>
            <w:r>
              <w:rPr>
                <w:rFonts w:ascii="Arial" w:eastAsia="Calibri" w:hAnsi="Arial" w:cs="Arial"/>
                <w:bCs/>
                <w:sz w:val="28"/>
                <w:szCs w:val="28"/>
              </w:rPr>
              <w:t>7 March 2024</w:t>
            </w:r>
          </w:p>
        </w:tc>
        <w:tc>
          <w:tcPr>
            <w:tcW w:w="3740" w:type="dxa"/>
          </w:tcPr>
          <w:p w14:paraId="3FD3FF6B" w14:textId="77777777" w:rsidR="00C813E7" w:rsidRDefault="00C813E7" w:rsidP="00515A8D">
            <w:pPr>
              <w:rPr>
                <w:rFonts w:ascii="Arial" w:eastAsia="Times New Roman" w:hAnsi="Arial" w:cs="Arial"/>
                <w:sz w:val="28"/>
                <w:szCs w:val="28"/>
              </w:rPr>
            </w:pPr>
            <w:r w:rsidRPr="00C813E7">
              <w:rPr>
                <w:rFonts w:ascii="Arial" w:eastAsia="Times New Roman" w:hAnsi="Arial" w:cs="Arial"/>
                <w:sz w:val="28"/>
                <w:szCs w:val="28"/>
              </w:rPr>
              <w:t>The policy is for all staff regardless of any of the section 75 equality categories. No-one will have an adverse impact by it being implemented.  It is to ensure students whether they are young children, young people, adults at risk and adults in need of protection can be educated in a safe environment</w:t>
            </w:r>
            <w:r>
              <w:rPr>
                <w:rFonts w:ascii="Arial" w:eastAsia="Times New Roman" w:hAnsi="Arial" w:cs="Arial"/>
                <w:sz w:val="28"/>
                <w:szCs w:val="28"/>
              </w:rPr>
              <w:t>.</w:t>
            </w:r>
          </w:p>
        </w:tc>
      </w:tr>
      <w:tr w:rsidR="00D7191C" w:rsidRPr="00621732" w14:paraId="6D992F5F" w14:textId="77777777" w:rsidTr="0015008F">
        <w:tc>
          <w:tcPr>
            <w:tcW w:w="2689" w:type="dxa"/>
          </w:tcPr>
          <w:p w14:paraId="2422FD6E" w14:textId="1EB041B9" w:rsidR="00D7191C" w:rsidRPr="009F6517" w:rsidRDefault="009F6517" w:rsidP="00621732">
            <w:pPr>
              <w:rPr>
                <w:rFonts w:ascii="Arial" w:eastAsia="Calibri" w:hAnsi="Arial" w:cs="Arial"/>
                <w:sz w:val="28"/>
                <w:szCs w:val="28"/>
                <w:highlight w:val="yellow"/>
              </w:rPr>
            </w:pPr>
            <w:r w:rsidRPr="00CA07A5">
              <w:rPr>
                <w:rFonts w:ascii="Arial" w:eastAsia="Calibri" w:hAnsi="Arial" w:cs="Arial"/>
                <w:sz w:val="28"/>
                <w:szCs w:val="28"/>
              </w:rPr>
              <w:t>Essential Skills Policy</w:t>
            </w:r>
          </w:p>
        </w:tc>
        <w:tc>
          <w:tcPr>
            <w:tcW w:w="5583" w:type="dxa"/>
          </w:tcPr>
          <w:p w14:paraId="3EF37025" w14:textId="77777777" w:rsidR="00CA07A5" w:rsidRPr="00CA07A5" w:rsidRDefault="00CA07A5" w:rsidP="00CA07A5">
            <w:pPr>
              <w:rPr>
                <w:rFonts w:ascii="Arial" w:eastAsia="Times New Roman" w:hAnsi="Arial" w:cs="Arial"/>
                <w:b/>
                <w:bCs/>
                <w:sz w:val="28"/>
                <w:szCs w:val="28"/>
              </w:rPr>
            </w:pPr>
            <w:r w:rsidRPr="00CA07A5">
              <w:rPr>
                <w:rFonts w:ascii="Arial" w:eastAsia="Times New Roman" w:hAnsi="Arial" w:cs="Arial"/>
                <w:sz w:val="28"/>
                <w:szCs w:val="28"/>
              </w:rPr>
              <w:t>To promote awareness of essential skills development to all students from the point of application, admission and throughout the learner journey</w:t>
            </w:r>
          </w:p>
          <w:p w14:paraId="1C2200C1" w14:textId="77777777" w:rsidR="00CA07A5" w:rsidRPr="00CA07A5" w:rsidRDefault="00CA07A5" w:rsidP="00CA07A5">
            <w:pPr>
              <w:rPr>
                <w:rFonts w:ascii="Arial" w:eastAsia="Times New Roman" w:hAnsi="Arial" w:cs="Arial"/>
                <w:b/>
                <w:bCs/>
                <w:sz w:val="28"/>
                <w:szCs w:val="28"/>
              </w:rPr>
            </w:pPr>
          </w:p>
          <w:p w14:paraId="5F83A043" w14:textId="77777777" w:rsidR="00CA07A5" w:rsidRPr="00CA07A5" w:rsidRDefault="00CA07A5" w:rsidP="00CA07A5">
            <w:pPr>
              <w:rPr>
                <w:rFonts w:ascii="Arial" w:eastAsia="Times New Roman" w:hAnsi="Arial" w:cs="Arial"/>
                <w:b/>
                <w:bCs/>
                <w:sz w:val="28"/>
                <w:szCs w:val="28"/>
              </w:rPr>
            </w:pPr>
            <w:r w:rsidRPr="00CA07A5">
              <w:rPr>
                <w:rFonts w:ascii="Arial" w:eastAsia="Times New Roman" w:hAnsi="Arial" w:cs="Arial"/>
                <w:sz w:val="28"/>
                <w:szCs w:val="28"/>
              </w:rPr>
              <w:lastRenderedPageBreak/>
              <w:t xml:space="preserve">To ensure that those students who require it have an entitlement to improve and be accredited for their Essential Skills at an appropriate level </w:t>
            </w:r>
          </w:p>
          <w:p w14:paraId="57A8145D" w14:textId="77777777" w:rsidR="00CA07A5" w:rsidRPr="00CA07A5" w:rsidRDefault="00CA07A5" w:rsidP="00CA07A5">
            <w:pPr>
              <w:rPr>
                <w:rFonts w:ascii="Arial" w:eastAsia="Times New Roman" w:hAnsi="Arial" w:cs="Arial"/>
                <w:b/>
                <w:bCs/>
                <w:sz w:val="28"/>
                <w:szCs w:val="28"/>
              </w:rPr>
            </w:pPr>
          </w:p>
          <w:p w14:paraId="66220E72" w14:textId="77777777" w:rsidR="00CA07A5" w:rsidRPr="00CA07A5" w:rsidRDefault="00CA07A5" w:rsidP="00CA07A5">
            <w:pPr>
              <w:rPr>
                <w:rFonts w:ascii="Arial" w:eastAsia="Times New Roman" w:hAnsi="Arial" w:cs="Arial"/>
                <w:b/>
                <w:bCs/>
                <w:sz w:val="28"/>
                <w:szCs w:val="28"/>
              </w:rPr>
            </w:pPr>
            <w:r w:rsidRPr="00CA07A5">
              <w:rPr>
                <w:rFonts w:ascii="Arial" w:eastAsia="Times New Roman" w:hAnsi="Arial" w:cs="Arial"/>
                <w:sz w:val="28"/>
                <w:szCs w:val="28"/>
              </w:rPr>
              <w:t xml:space="preserve">To engage with government Departments (DfE, DE, ETI), Awarding Bodies and the Sector Essential Skills Working Group to participate in developments within or review of the Essential Skills Strategy </w:t>
            </w:r>
          </w:p>
          <w:p w14:paraId="6D6131E9" w14:textId="77777777" w:rsidR="00D7191C" w:rsidRDefault="00D7191C" w:rsidP="00994BEE">
            <w:pPr>
              <w:rPr>
                <w:rFonts w:ascii="Arial" w:eastAsia="Times New Roman" w:hAnsi="Arial" w:cs="Arial"/>
                <w:sz w:val="28"/>
                <w:szCs w:val="28"/>
              </w:rPr>
            </w:pPr>
          </w:p>
        </w:tc>
        <w:tc>
          <w:tcPr>
            <w:tcW w:w="1530" w:type="dxa"/>
          </w:tcPr>
          <w:p w14:paraId="44C4A663" w14:textId="61723D41" w:rsidR="00D7191C" w:rsidRDefault="00CA07A5" w:rsidP="00621732">
            <w:pPr>
              <w:rPr>
                <w:rFonts w:ascii="Arial" w:eastAsia="Calibri" w:hAnsi="Arial" w:cs="Arial"/>
                <w:bCs/>
                <w:sz w:val="28"/>
                <w:szCs w:val="28"/>
              </w:rPr>
            </w:pPr>
            <w:r>
              <w:rPr>
                <w:rFonts w:ascii="Arial" w:eastAsia="Calibri" w:hAnsi="Arial" w:cs="Arial"/>
                <w:bCs/>
                <w:sz w:val="28"/>
                <w:szCs w:val="28"/>
              </w:rPr>
              <w:lastRenderedPageBreak/>
              <w:t>Existing</w:t>
            </w:r>
          </w:p>
        </w:tc>
        <w:tc>
          <w:tcPr>
            <w:tcW w:w="1959" w:type="dxa"/>
          </w:tcPr>
          <w:p w14:paraId="47300FC9" w14:textId="38FC9BCB" w:rsidR="00D7191C" w:rsidRPr="00CA07A5" w:rsidRDefault="00CA07A5" w:rsidP="00621732">
            <w:pPr>
              <w:rPr>
                <w:rFonts w:ascii="Arial" w:eastAsia="Calibri" w:hAnsi="Arial" w:cs="Arial"/>
                <w:sz w:val="28"/>
                <w:szCs w:val="28"/>
              </w:rPr>
            </w:pPr>
            <w:r w:rsidRPr="00CA07A5">
              <w:rPr>
                <w:rFonts w:ascii="Arial" w:eastAsia="Calibri" w:hAnsi="Arial" w:cs="Arial"/>
                <w:sz w:val="28"/>
                <w:szCs w:val="28"/>
              </w:rPr>
              <w:t>25 March 2024</w:t>
            </w:r>
          </w:p>
        </w:tc>
        <w:tc>
          <w:tcPr>
            <w:tcW w:w="3740" w:type="dxa"/>
          </w:tcPr>
          <w:p w14:paraId="19DA7A79" w14:textId="08DE7476" w:rsidR="00D7191C" w:rsidRDefault="00CA07A5" w:rsidP="00621732">
            <w:pPr>
              <w:rPr>
                <w:rFonts w:ascii="Arial" w:eastAsia="Times New Roman" w:hAnsi="Arial" w:cs="Arial"/>
                <w:sz w:val="28"/>
                <w:szCs w:val="28"/>
              </w:rPr>
            </w:pPr>
            <w:r w:rsidRPr="00CA07A5">
              <w:rPr>
                <w:rFonts w:ascii="Arial" w:eastAsia="Times New Roman" w:hAnsi="Arial" w:cs="Arial"/>
                <w:sz w:val="28"/>
                <w:szCs w:val="28"/>
              </w:rPr>
              <w:t>There would be no adverse impact on students from any equality category.</w:t>
            </w:r>
          </w:p>
        </w:tc>
      </w:tr>
      <w:tr w:rsidR="00842990" w:rsidRPr="00621732" w14:paraId="5012CBBB" w14:textId="77777777" w:rsidTr="0015008F">
        <w:tc>
          <w:tcPr>
            <w:tcW w:w="2689" w:type="dxa"/>
          </w:tcPr>
          <w:p w14:paraId="0FC14BC0" w14:textId="2C3EF756" w:rsidR="00842990" w:rsidRPr="009F6517" w:rsidRDefault="009F6517" w:rsidP="00621732">
            <w:pPr>
              <w:rPr>
                <w:rFonts w:ascii="Arial" w:eastAsia="Calibri" w:hAnsi="Arial" w:cs="Arial"/>
                <w:sz w:val="28"/>
                <w:szCs w:val="28"/>
                <w:highlight w:val="yellow"/>
              </w:rPr>
            </w:pPr>
            <w:r w:rsidRPr="00CA07A5">
              <w:rPr>
                <w:rFonts w:ascii="Arial" w:eastAsia="Calibri" w:hAnsi="Arial" w:cs="Arial"/>
                <w:sz w:val="28"/>
                <w:szCs w:val="28"/>
              </w:rPr>
              <w:t>Literacy and Numeracy Policy</w:t>
            </w:r>
          </w:p>
        </w:tc>
        <w:tc>
          <w:tcPr>
            <w:tcW w:w="5583" w:type="dxa"/>
          </w:tcPr>
          <w:p w14:paraId="3D364C7C" w14:textId="77777777" w:rsidR="00CA07A5" w:rsidRPr="00CA07A5" w:rsidRDefault="00CA07A5" w:rsidP="00CA07A5">
            <w:pPr>
              <w:rPr>
                <w:rFonts w:ascii="Arial" w:eastAsia="Times New Roman" w:hAnsi="Arial" w:cs="Arial"/>
                <w:b/>
                <w:bCs/>
                <w:sz w:val="28"/>
                <w:szCs w:val="28"/>
              </w:rPr>
            </w:pPr>
            <w:r w:rsidRPr="00CA07A5">
              <w:rPr>
                <w:rFonts w:ascii="Arial" w:eastAsia="Times New Roman" w:hAnsi="Arial" w:cs="Arial"/>
                <w:sz w:val="28"/>
                <w:szCs w:val="28"/>
              </w:rPr>
              <w:t>To raise student awareness from the point of admission and throughout the learner journey of the need to develop their Literacy and Numeracy skills.</w:t>
            </w:r>
          </w:p>
          <w:p w14:paraId="67210D5B" w14:textId="77777777" w:rsidR="00CA07A5" w:rsidRPr="00CA07A5" w:rsidRDefault="00CA07A5" w:rsidP="00CA07A5">
            <w:pPr>
              <w:rPr>
                <w:rFonts w:ascii="Arial" w:eastAsia="Times New Roman" w:hAnsi="Arial" w:cs="Arial"/>
                <w:b/>
                <w:bCs/>
                <w:sz w:val="28"/>
                <w:szCs w:val="28"/>
              </w:rPr>
            </w:pPr>
          </w:p>
          <w:p w14:paraId="7A0A53DE" w14:textId="77777777" w:rsidR="00CA07A5" w:rsidRPr="00CA07A5" w:rsidRDefault="00CA07A5" w:rsidP="00CA07A5">
            <w:pPr>
              <w:rPr>
                <w:rFonts w:ascii="Arial" w:eastAsia="Times New Roman" w:hAnsi="Arial" w:cs="Arial"/>
                <w:b/>
                <w:bCs/>
                <w:sz w:val="28"/>
                <w:szCs w:val="28"/>
              </w:rPr>
            </w:pPr>
            <w:r w:rsidRPr="00CA07A5">
              <w:rPr>
                <w:rFonts w:ascii="Arial" w:eastAsia="Times New Roman" w:hAnsi="Arial" w:cs="Arial"/>
                <w:sz w:val="28"/>
                <w:szCs w:val="28"/>
              </w:rPr>
              <w:t>To ensure that those students who have Literacy and Numeracy deficits have an opportunity to improve their skills and gain an appropriate qualification.</w:t>
            </w:r>
          </w:p>
          <w:p w14:paraId="7940567E" w14:textId="77777777" w:rsidR="00CA07A5" w:rsidRPr="00CA07A5" w:rsidRDefault="00CA07A5" w:rsidP="00CA07A5">
            <w:pPr>
              <w:rPr>
                <w:rFonts w:ascii="Arial" w:eastAsia="Times New Roman" w:hAnsi="Arial" w:cs="Arial"/>
                <w:b/>
                <w:bCs/>
                <w:sz w:val="28"/>
                <w:szCs w:val="28"/>
              </w:rPr>
            </w:pPr>
          </w:p>
          <w:p w14:paraId="344320E0" w14:textId="77777777" w:rsidR="00CA07A5" w:rsidRPr="00CA07A5" w:rsidRDefault="00CA07A5" w:rsidP="00CA07A5">
            <w:pPr>
              <w:rPr>
                <w:rFonts w:ascii="Arial" w:eastAsia="Times New Roman" w:hAnsi="Arial" w:cs="Arial"/>
                <w:b/>
                <w:bCs/>
                <w:sz w:val="28"/>
                <w:szCs w:val="28"/>
              </w:rPr>
            </w:pPr>
            <w:r w:rsidRPr="00CA07A5">
              <w:rPr>
                <w:rFonts w:ascii="Arial" w:eastAsia="Times New Roman" w:hAnsi="Arial" w:cs="Arial"/>
                <w:sz w:val="28"/>
                <w:szCs w:val="28"/>
              </w:rPr>
              <w:t>To ensure that Literacy, Numeracy and digital skills development is embedded within vocational programmes and that marking for improvement is effective.</w:t>
            </w:r>
          </w:p>
          <w:p w14:paraId="0583C591" w14:textId="77777777" w:rsidR="00842990" w:rsidRDefault="00842990" w:rsidP="00994BEE">
            <w:pPr>
              <w:rPr>
                <w:rFonts w:ascii="Arial" w:eastAsia="Times New Roman" w:hAnsi="Arial" w:cs="Arial"/>
                <w:sz w:val="28"/>
                <w:szCs w:val="28"/>
              </w:rPr>
            </w:pPr>
          </w:p>
        </w:tc>
        <w:tc>
          <w:tcPr>
            <w:tcW w:w="1530" w:type="dxa"/>
          </w:tcPr>
          <w:p w14:paraId="2B3F03B9" w14:textId="0DC4334E" w:rsidR="00842990" w:rsidRDefault="00CA07A5" w:rsidP="00621732">
            <w:pPr>
              <w:rPr>
                <w:rFonts w:ascii="Arial" w:eastAsia="Calibri" w:hAnsi="Arial" w:cs="Arial"/>
                <w:bCs/>
                <w:sz w:val="28"/>
                <w:szCs w:val="28"/>
              </w:rPr>
            </w:pPr>
            <w:r>
              <w:rPr>
                <w:rFonts w:ascii="Arial" w:eastAsia="Calibri" w:hAnsi="Arial" w:cs="Arial"/>
                <w:bCs/>
                <w:sz w:val="28"/>
                <w:szCs w:val="28"/>
              </w:rPr>
              <w:t>Existing</w:t>
            </w:r>
          </w:p>
        </w:tc>
        <w:tc>
          <w:tcPr>
            <w:tcW w:w="1959" w:type="dxa"/>
          </w:tcPr>
          <w:p w14:paraId="2B7EA4F4" w14:textId="4C3466DF" w:rsidR="00842990" w:rsidRDefault="00CA07A5" w:rsidP="00621732">
            <w:pPr>
              <w:rPr>
                <w:rFonts w:ascii="Arial" w:eastAsia="Calibri" w:hAnsi="Arial" w:cs="Arial"/>
                <w:bCs/>
                <w:sz w:val="28"/>
                <w:szCs w:val="28"/>
              </w:rPr>
            </w:pPr>
            <w:r>
              <w:rPr>
                <w:rFonts w:ascii="Arial" w:eastAsia="Calibri" w:hAnsi="Arial" w:cs="Arial"/>
                <w:bCs/>
                <w:sz w:val="28"/>
                <w:szCs w:val="28"/>
              </w:rPr>
              <w:t>25 March 2024</w:t>
            </w:r>
          </w:p>
        </w:tc>
        <w:tc>
          <w:tcPr>
            <w:tcW w:w="3740" w:type="dxa"/>
          </w:tcPr>
          <w:p w14:paraId="348AE8D4" w14:textId="4647CC6D" w:rsidR="00842990" w:rsidRDefault="00CA07A5" w:rsidP="00621732">
            <w:pPr>
              <w:rPr>
                <w:rFonts w:ascii="Arial" w:eastAsia="Times New Roman" w:hAnsi="Arial" w:cs="Arial"/>
                <w:sz w:val="28"/>
                <w:szCs w:val="28"/>
              </w:rPr>
            </w:pPr>
            <w:r w:rsidRPr="00CA07A5">
              <w:rPr>
                <w:rFonts w:ascii="Arial" w:eastAsia="Times New Roman" w:hAnsi="Arial" w:cs="Arial"/>
                <w:sz w:val="28"/>
                <w:szCs w:val="28"/>
              </w:rPr>
              <w:t>There would be no adverse impact on students from any equality category.</w:t>
            </w:r>
          </w:p>
        </w:tc>
      </w:tr>
    </w:tbl>
    <w:p w14:paraId="25AAEA4E" w14:textId="77777777" w:rsidR="00AD14CB" w:rsidRDefault="00AD14CB"/>
    <w:sectPr w:rsidR="00AD14CB" w:rsidSect="00621732">
      <w:footerReference w:type="even" r:id="rId7"/>
      <w:footerReference w:type="default" r:id="rId8"/>
      <w:footerReference w:type="firs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71C35" w14:textId="77777777" w:rsidR="00586C89" w:rsidRDefault="00586C89" w:rsidP="00586C89">
      <w:pPr>
        <w:spacing w:after="0" w:line="240" w:lineRule="auto"/>
      </w:pPr>
      <w:r>
        <w:separator/>
      </w:r>
    </w:p>
  </w:endnote>
  <w:endnote w:type="continuationSeparator" w:id="0">
    <w:p w14:paraId="6308EF83" w14:textId="77777777" w:rsidR="00586C89" w:rsidRDefault="00586C89" w:rsidP="0058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D51E3" w14:textId="5C50D2D1" w:rsidR="00586C89" w:rsidRDefault="00586C89">
    <w:pPr>
      <w:pStyle w:val="Footer"/>
    </w:pPr>
    <w:r>
      <w:rPr>
        <w:noProof/>
      </w:rPr>
      <mc:AlternateContent>
        <mc:Choice Requires="wps">
          <w:drawing>
            <wp:anchor distT="0" distB="0" distL="0" distR="0" simplePos="0" relativeHeight="251659264" behindDoc="0" locked="0" layoutInCell="1" allowOverlap="1" wp14:anchorId="23B473AB" wp14:editId="0C32E80F">
              <wp:simplePos x="635" y="635"/>
              <wp:positionH relativeFrom="page">
                <wp:align>left</wp:align>
              </wp:positionH>
              <wp:positionV relativeFrom="page">
                <wp:align>bottom</wp:align>
              </wp:positionV>
              <wp:extent cx="443865" cy="443865"/>
              <wp:effectExtent l="0" t="0" r="5080" b="0"/>
              <wp:wrapNone/>
              <wp:docPr id="2" name="Text Box 2"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E7E2C0" w14:textId="22F2C162"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B473AB" id="_x0000_t202" coordsize="21600,21600" o:spt="202" path="m,l,21600r21600,l21600,xe">
              <v:stroke joinstyle="miter"/>
              <v:path gradientshapeok="t" o:connecttype="rect"/>
            </v:shapetype>
            <v:shape id="Text Box 2" o:spid="_x0000_s1026" type="#_x0000_t202" alt="[OFFICIAL] - Please treat this information as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8E7E2C0" w14:textId="22F2C162"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6150A" w14:textId="69853F5C" w:rsidR="00586C89" w:rsidRDefault="00586C89">
    <w:pPr>
      <w:pStyle w:val="Footer"/>
    </w:pPr>
    <w:r>
      <w:rPr>
        <w:noProof/>
      </w:rPr>
      <mc:AlternateContent>
        <mc:Choice Requires="wps">
          <w:drawing>
            <wp:anchor distT="0" distB="0" distL="0" distR="0" simplePos="0" relativeHeight="251660288" behindDoc="0" locked="0" layoutInCell="1" allowOverlap="1" wp14:anchorId="37DCACDA" wp14:editId="1C892B0E">
              <wp:simplePos x="457200" y="6943725"/>
              <wp:positionH relativeFrom="page">
                <wp:align>left</wp:align>
              </wp:positionH>
              <wp:positionV relativeFrom="page">
                <wp:align>bottom</wp:align>
              </wp:positionV>
              <wp:extent cx="443865" cy="443865"/>
              <wp:effectExtent l="0" t="0" r="5080" b="0"/>
              <wp:wrapNone/>
              <wp:docPr id="3" name="Text Box 3"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1E8B56" w14:textId="7CD4236D"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DCACDA" id="_x0000_t202" coordsize="21600,21600" o:spt="202" path="m,l,21600r21600,l21600,xe">
              <v:stroke joinstyle="miter"/>
              <v:path gradientshapeok="t" o:connecttype="rect"/>
            </v:shapetype>
            <v:shape id="Text Box 3" o:spid="_x0000_s1027" type="#_x0000_t202" alt="[OFFICIAL] - Please treat this information as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61E8B56" w14:textId="7CD4236D"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8FAB5" w14:textId="779734D6" w:rsidR="00586C89" w:rsidRDefault="00586C89">
    <w:pPr>
      <w:pStyle w:val="Footer"/>
    </w:pPr>
    <w:r>
      <w:rPr>
        <w:noProof/>
      </w:rPr>
      <mc:AlternateContent>
        <mc:Choice Requires="wps">
          <w:drawing>
            <wp:anchor distT="0" distB="0" distL="0" distR="0" simplePos="0" relativeHeight="251658240" behindDoc="0" locked="0" layoutInCell="1" allowOverlap="1" wp14:anchorId="7ED2DBE7" wp14:editId="2C146891">
              <wp:simplePos x="635" y="635"/>
              <wp:positionH relativeFrom="page">
                <wp:align>left</wp:align>
              </wp:positionH>
              <wp:positionV relativeFrom="page">
                <wp:align>bottom</wp:align>
              </wp:positionV>
              <wp:extent cx="443865" cy="443865"/>
              <wp:effectExtent l="0" t="0" r="5080" b="0"/>
              <wp:wrapNone/>
              <wp:docPr id="1" name="Text Box 1"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F64FC2" w14:textId="235E9068"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D2DBE7" id="_x0000_t202" coordsize="21600,21600" o:spt="202" path="m,l,21600r21600,l21600,xe">
              <v:stroke joinstyle="miter"/>
              <v:path gradientshapeok="t" o:connecttype="rect"/>
            </v:shapetype>
            <v:shape id="Text Box 1" o:spid="_x0000_s1028" type="#_x0000_t202" alt="[OFFICIAL] - Please treat this information as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BF64FC2" w14:textId="235E9068" w:rsidR="00586C89" w:rsidRPr="00586C89" w:rsidRDefault="00586C89" w:rsidP="00586C89">
                    <w:pPr>
                      <w:spacing w:after="0"/>
                      <w:rPr>
                        <w:rFonts w:ascii="Calibri" w:eastAsia="Calibri" w:hAnsi="Calibri" w:cs="Calibri"/>
                        <w:noProof/>
                        <w:color w:val="000000"/>
                        <w:sz w:val="24"/>
                        <w:szCs w:val="24"/>
                      </w:rPr>
                    </w:pPr>
                    <w:r w:rsidRPr="00586C89">
                      <w:rPr>
                        <w:rFonts w:ascii="Calibri" w:eastAsia="Calibri" w:hAnsi="Calibri" w:cs="Calibri"/>
                        <w:noProof/>
                        <w:color w:val="000000"/>
                        <w:sz w:val="24"/>
                        <w:szCs w:val="24"/>
                      </w:rPr>
                      <w:t>[OFFICIAL] - Please treat this information as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E46B1" w14:textId="77777777" w:rsidR="00586C89" w:rsidRDefault="00586C89" w:rsidP="00586C89">
      <w:pPr>
        <w:spacing w:after="0" w:line="240" w:lineRule="auto"/>
      </w:pPr>
      <w:r>
        <w:separator/>
      </w:r>
    </w:p>
  </w:footnote>
  <w:footnote w:type="continuationSeparator" w:id="0">
    <w:p w14:paraId="35C427FB" w14:textId="77777777" w:rsidR="00586C89" w:rsidRDefault="00586C89" w:rsidP="00586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6557C"/>
    <w:multiLevelType w:val="hybridMultilevel"/>
    <w:tmpl w:val="5DAAAF6E"/>
    <w:lvl w:ilvl="0" w:tplc="08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0A7809"/>
    <w:multiLevelType w:val="hybridMultilevel"/>
    <w:tmpl w:val="E946EAE0"/>
    <w:lvl w:ilvl="0" w:tplc="34D66D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E5F5C"/>
    <w:multiLevelType w:val="hybridMultilevel"/>
    <w:tmpl w:val="97BE03AA"/>
    <w:lvl w:ilvl="0" w:tplc="F4309464">
      <w:start w:val="1"/>
      <w:numFmt w:val="decimal"/>
      <w:lvlText w:val="%1."/>
      <w:lvlJc w:val="left"/>
      <w:pPr>
        <w:ind w:left="772" w:hanging="312"/>
      </w:pPr>
      <w:rPr>
        <w:rFonts w:ascii="Arial" w:eastAsia="Calibri Light" w:hAnsi="Arial" w:cs="Arial" w:hint="default"/>
        <w:b/>
        <w:bCs/>
        <w:i w:val="0"/>
        <w:iCs w:val="0"/>
        <w:color w:val="auto"/>
        <w:spacing w:val="-1"/>
        <w:w w:val="99"/>
        <w:sz w:val="24"/>
        <w:szCs w:val="24"/>
        <w:lang w:val="en-GB" w:eastAsia="en-US" w:bidi="ar-SA"/>
      </w:rPr>
    </w:lvl>
    <w:lvl w:ilvl="1" w:tplc="BCDA65F0">
      <w:numFmt w:val="bullet"/>
      <w:lvlText w:val=""/>
      <w:lvlJc w:val="left"/>
      <w:pPr>
        <w:ind w:left="1180" w:hanging="360"/>
      </w:pPr>
      <w:rPr>
        <w:rFonts w:ascii="Symbol" w:eastAsia="Symbol" w:hAnsi="Symbol" w:cs="Symbol" w:hint="default"/>
        <w:b w:val="0"/>
        <w:bCs w:val="0"/>
        <w:i w:val="0"/>
        <w:iCs w:val="0"/>
        <w:w w:val="100"/>
        <w:sz w:val="24"/>
        <w:szCs w:val="24"/>
        <w:lang w:val="en-GB" w:eastAsia="en-US" w:bidi="ar-SA"/>
      </w:rPr>
    </w:lvl>
    <w:lvl w:ilvl="2" w:tplc="1F86CB7A">
      <w:numFmt w:val="bullet"/>
      <w:lvlText w:val="•"/>
      <w:lvlJc w:val="left"/>
      <w:pPr>
        <w:ind w:left="2116" w:hanging="360"/>
      </w:pPr>
      <w:rPr>
        <w:rFonts w:hint="default"/>
        <w:lang w:val="en-GB" w:eastAsia="en-US" w:bidi="ar-SA"/>
      </w:rPr>
    </w:lvl>
    <w:lvl w:ilvl="3" w:tplc="A9E654D4">
      <w:numFmt w:val="bullet"/>
      <w:lvlText w:val="•"/>
      <w:lvlJc w:val="left"/>
      <w:pPr>
        <w:ind w:left="3052" w:hanging="360"/>
      </w:pPr>
      <w:rPr>
        <w:rFonts w:hint="default"/>
        <w:lang w:val="en-GB" w:eastAsia="en-US" w:bidi="ar-SA"/>
      </w:rPr>
    </w:lvl>
    <w:lvl w:ilvl="4" w:tplc="B33A3216">
      <w:numFmt w:val="bullet"/>
      <w:lvlText w:val="•"/>
      <w:lvlJc w:val="left"/>
      <w:pPr>
        <w:ind w:left="3988" w:hanging="360"/>
      </w:pPr>
      <w:rPr>
        <w:rFonts w:hint="default"/>
        <w:lang w:val="en-GB" w:eastAsia="en-US" w:bidi="ar-SA"/>
      </w:rPr>
    </w:lvl>
    <w:lvl w:ilvl="5" w:tplc="CE54FA18">
      <w:numFmt w:val="bullet"/>
      <w:lvlText w:val="•"/>
      <w:lvlJc w:val="left"/>
      <w:pPr>
        <w:ind w:left="4925" w:hanging="360"/>
      </w:pPr>
      <w:rPr>
        <w:rFonts w:hint="default"/>
        <w:lang w:val="en-GB" w:eastAsia="en-US" w:bidi="ar-SA"/>
      </w:rPr>
    </w:lvl>
    <w:lvl w:ilvl="6" w:tplc="2D7A05C4">
      <w:numFmt w:val="bullet"/>
      <w:lvlText w:val="•"/>
      <w:lvlJc w:val="left"/>
      <w:pPr>
        <w:ind w:left="5861" w:hanging="360"/>
      </w:pPr>
      <w:rPr>
        <w:rFonts w:hint="default"/>
        <w:lang w:val="en-GB" w:eastAsia="en-US" w:bidi="ar-SA"/>
      </w:rPr>
    </w:lvl>
    <w:lvl w:ilvl="7" w:tplc="B316D836">
      <w:numFmt w:val="bullet"/>
      <w:lvlText w:val="•"/>
      <w:lvlJc w:val="left"/>
      <w:pPr>
        <w:ind w:left="6797" w:hanging="360"/>
      </w:pPr>
      <w:rPr>
        <w:rFonts w:hint="default"/>
        <w:lang w:val="en-GB" w:eastAsia="en-US" w:bidi="ar-SA"/>
      </w:rPr>
    </w:lvl>
    <w:lvl w:ilvl="8" w:tplc="1C1A9C4E">
      <w:numFmt w:val="bullet"/>
      <w:lvlText w:val="•"/>
      <w:lvlJc w:val="left"/>
      <w:pPr>
        <w:ind w:left="7733" w:hanging="360"/>
      </w:pPr>
      <w:rPr>
        <w:rFonts w:hint="default"/>
        <w:lang w:val="en-GB" w:eastAsia="en-US" w:bidi="ar-SA"/>
      </w:rPr>
    </w:lvl>
  </w:abstractNum>
  <w:abstractNum w:abstractNumId="3" w15:restartNumberingAfterBreak="0">
    <w:nsid w:val="328973A8"/>
    <w:multiLevelType w:val="hybridMultilevel"/>
    <w:tmpl w:val="6A04A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2D4DCC"/>
    <w:multiLevelType w:val="hybridMultilevel"/>
    <w:tmpl w:val="A050A16C"/>
    <w:lvl w:ilvl="0" w:tplc="59601F12">
      <w:start w:val="1"/>
      <w:numFmt w:val="bullet"/>
      <w:lvlText w:val=""/>
      <w:lvlJc w:val="left"/>
      <w:pPr>
        <w:ind w:left="720" w:hanging="360"/>
      </w:pPr>
      <w:rPr>
        <w:rFonts w:ascii="Symbol" w:hAnsi="Symbol" w:hint="default"/>
      </w:rPr>
    </w:lvl>
    <w:lvl w:ilvl="1" w:tplc="3698E51A">
      <w:start w:val="1"/>
      <w:numFmt w:val="bullet"/>
      <w:lvlText w:val="o"/>
      <w:lvlJc w:val="left"/>
      <w:pPr>
        <w:ind w:left="1440" w:hanging="360"/>
      </w:pPr>
      <w:rPr>
        <w:rFonts w:ascii="Courier New" w:hAnsi="Courier New" w:cs="Times New Roman" w:hint="default"/>
      </w:rPr>
    </w:lvl>
    <w:lvl w:ilvl="2" w:tplc="BE486680">
      <w:start w:val="1"/>
      <w:numFmt w:val="bullet"/>
      <w:lvlText w:val=""/>
      <w:lvlJc w:val="left"/>
      <w:pPr>
        <w:ind w:left="2160" w:hanging="360"/>
      </w:pPr>
      <w:rPr>
        <w:rFonts w:ascii="Wingdings" w:hAnsi="Wingdings" w:hint="default"/>
      </w:rPr>
    </w:lvl>
    <w:lvl w:ilvl="3" w:tplc="9B883F2C">
      <w:start w:val="1"/>
      <w:numFmt w:val="bullet"/>
      <w:lvlText w:val=""/>
      <w:lvlJc w:val="left"/>
      <w:pPr>
        <w:ind w:left="2880" w:hanging="360"/>
      </w:pPr>
      <w:rPr>
        <w:rFonts w:ascii="Symbol" w:hAnsi="Symbol" w:hint="default"/>
      </w:rPr>
    </w:lvl>
    <w:lvl w:ilvl="4" w:tplc="EAE881F6">
      <w:start w:val="1"/>
      <w:numFmt w:val="bullet"/>
      <w:lvlText w:val="o"/>
      <w:lvlJc w:val="left"/>
      <w:pPr>
        <w:ind w:left="3600" w:hanging="360"/>
      </w:pPr>
      <w:rPr>
        <w:rFonts w:ascii="Courier New" w:hAnsi="Courier New" w:cs="Times New Roman" w:hint="default"/>
      </w:rPr>
    </w:lvl>
    <w:lvl w:ilvl="5" w:tplc="34DE859C">
      <w:start w:val="1"/>
      <w:numFmt w:val="bullet"/>
      <w:lvlText w:val=""/>
      <w:lvlJc w:val="left"/>
      <w:pPr>
        <w:ind w:left="4320" w:hanging="360"/>
      </w:pPr>
      <w:rPr>
        <w:rFonts w:ascii="Wingdings" w:hAnsi="Wingdings" w:hint="default"/>
      </w:rPr>
    </w:lvl>
    <w:lvl w:ilvl="6" w:tplc="199CF9B6">
      <w:start w:val="1"/>
      <w:numFmt w:val="bullet"/>
      <w:lvlText w:val=""/>
      <w:lvlJc w:val="left"/>
      <w:pPr>
        <w:ind w:left="5040" w:hanging="360"/>
      </w:pPr>
      <w:rPr>
        <w:rFonts w:ascii="Symbol" w:hAnsi="Symbol" w:hint="default"/>
      </w:rPr>
    </w:lvl>
    <w:lvl w:ilvl="7" w:tplc="632C09C2">
      <w:start w:val="1"/>
      <w:numFmt w:val="bullet"/>
      <w:lvlText w:val="o"/>
      <w:lvlJc w:val="left"/>
      <w:pPr>
        <w:ind w:left="5760" w:hanging="360"/>
      </w:pPr>
      <w:rPr>
        <w:rFonts w:ascii="Courier New" w:hAnsi="Courier New" w:cs="Times New Roman" w:hint="default"/>
      </w:rPr>
    </w:lvl>
    <w:lvl w:ilvl="8" w:tplc="9CF84718">
      <w:start w:val="1"/>
      <w:numFmt w:val="bullet"/>
      <w:lvlText w:val=""/>
      <w:lvlJc w:val="left"/>
      <w:pPr>
        <w:ind w:left="6480" w:hanging="360"/>
      </w:pPr>
      <w:rPr>
        <w:rFonts w:ascii="Wingdings" w:hAnsi="Wingdings" w:hint="default"/>
      </w:rPr>
    </w:lvl>
  </w:abstractNum>
  <w:abstractNum w:abstractNumId="5" w15:restartNumberingAfterBreak="0">
    <w:nsid w:val="6E5D3441"/>
    <w:multiLevelType w:val="hybridMultilevel"/>
    <w:tmpl w:val="A8821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3792927"/>
    <w:multiLevelType w:val="hybridMultilevel"/>
    <w:tmpl w:val="03C602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BC333BD"/>
    <w:multiLevelType w:val="hybridMultilevel"/>
    <w:tmpl w:val="472E2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CBA44A8"/>
    <w:multiLevelType w:val="hybridMultilevel"/>
    <w:tmpl w:val="4F1AEE58"/>
    <w:lvl w:ilvl="0" w:tplc="9E92CA5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169759">
    <w:abstractNumId w:val="2"/>
  </w:num>
  <w:num w:numId="2" w16cid:durableId="1628663708">
    <w:abstractNumId w:val="6"/>
  </w:num>
  <w:num w:numId="3" w16cid:durableId="1381634380">
    <w:abstractNumId w:val="3"/>
  </w:num>
  <w:num w:numId="4" w16cid:durableId="729958583">
    <w:abstractNumId w:val="8"/>
  </w:num>
  <w:num w:numId="5" w16cid:durableId="535703523">
    <w:abstractNumId w:val="0"/>
  </w:num>
  <w:num w:numId="6" w16cid:durableId="1760710009">
    <w:abstractNumId w:val="5"/>
  </w:num>
  <w:num w:numId="7" w16cid:durableId="734666585">
    <w:abstractNumId w:val="4"/>
  </w:num>
  <w:num w:numId="8" w16cid:durableId="760026911">
    <w:abstractNumId w:val="1"/>
  </w:num>
  <w:num w:numId="9" w16cid:durableId="13541875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32"/>
    <w:rsid w:val="00012F8E"/>
    <w:rsid w:val="00027142"/>
    <w:rsid w:val="000414FD"/>
    <w:rsid w:val="00097738"/>
    <w:rsid w:val="000A55E9"/>
    <w:rsid w:val="000B220E"/>
    <w:rsid w:val="000F708D"/>
    <w:rsid w:val="0015008F"/>
    <w:rsid w:val="00180FF7"/>
    <w:rsid w:val="00216834"/>
    <w:rsid w:val="002E6A38"/>
    <w:rsid w:val="0030207D"/>
    <w:rsid w:val="003A23E6"/>
    <w:rsid w:val="003F3BD9"/>
    <w:rsid w:val="00453A4C"/>
    <w:rsid w:val="00455850"/>
    <w:rsid w:val="00524645"/>
    <w:rsid w:val="0053768D"/>
    <w:rsid w:val="00586C89"/>
    <w:rsid w:val="005949D2"/>
    <w:rsid w:val="00621732"/>
    <w:rsid w:val="006509D7"/>
    <w:rsid w:val="00671BBE"/>
    <w:rsid w:val="006873CE"/>
    <w:rsid w:val="006C719D"/>
    <w:rsid w:val="00720F20"/>
    <w:rsid w:val="007B2DF5"/>
    <w:rsid w:val="007D6ADC"/>
    <w:rsid w:val="00823FD9"/>
    <w:rsid w:val="00842990"/>
    <w:rsid w:val="008C3096"/>
    <w:rsid w:val="008D033A"/>
    <w:rsid w:val="008E0D8B"/>
    <w:rsid w:val="0096322C"/>
    <w:rsid w:val="00994BEE"/>
    <w:rsid w:val="009A4676"/>
    <w:rsid w:val="009F6517"/>
    <w:rsid w:val="00A01054"/>
    <w:rsid w:val="00A358AA"/>
    <w:rsid w:val="00A83DB6"/>
    <w:rsid w:val="00A9459D"/>
    <w:rsid w:val="00AD14CB"/>
    <w:rsid w:val="00AD302E"/>
    <w:rsid w:val="00B531FA"/>
    <w:rsid w:val="00BB6E6D"/>
    <w:rsid w:val="00BD1823"/>
    <w:rsid w:val="00BE2939"/>
    <w:rsid w:val="00BE6841"/>
    <w:rsid w:val="00C03150"/>
    <w:rsid w:val="00C12450"/>
    <w:rsid w:val="00C26B19"/>
    <w:rsid w:val="00C607A8"/>
    <w:rsid w:val="00C650B8"/>
    <w:rsid w:val="00C813E7"/>
    <w:rsid w:val="00CA07A5"/>
    <w:rsid w:val="00D21E86"/>
    <w:rsid w:val="00D7191C"/>
    <w:rsid w:val="00D87922"/>
    <w:rsid w:val="00D9751B"/>
    <w:rsid w:val="00DE75EE"/>
    <w:rsid w:val="00DF2EA8"/>
    <w:rsid w:val="00E6485A"/>
    <w:rsid w:val="00E82CE2"/>
    <w:rsid w:val="00E97B99"/>
    <w:rsid w:val="00F82C3E"/>
    <w:rsid w:val="00F83A0A"/>
    <w:rsid w:val="00FA32EA"/>
    <w:rsid w:val="00FF4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F6E1"/>
  <w15:chartTrackingRefBased/>
  <w15:docId w15:val="{CF6925EF-A9C8-47EF-AFBE-F02E1087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next w:val="TableGridLight"/>
    <w:uiPriority w:val="40"/>
    <w:rsid w:val="00621732"/>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62173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586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C89"/>
  </w:style>
  <w:style w:type="paragraph" w:styleId="ListParagraph">
    <w:name w:val="List Paragraph"/>
    <w:basedOn w:val="Normal"/>
    <w:uiPriority w:val="34"/>
    <w:qFormat/>
    <w:rsid w:val="00E97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Fiona</dc:creator>
  <cp:keywords/>
  <dc:description/>
  <cp:lastModifiedBy>Hamilton, Fiona</cp:lastModifiedBy>
  <cp:revision>9</cp:revision>
  <dcterms:created xsi:type="dcterms:W3CDTF">2024-02-27T09:24:00Z</dcterms:created>
  <dcterms:modified xsi:type="dcterms:W3CDTF">2024-04-08T10:40:00Z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#000000,12,Calibri</vt:lpwstr>
  </property>
  <property fmtid="{D5CDD505-2E9C-101B-9397-08002B2CF9AE}" pid="4" name="ClassificationContentMarkingFooterText">
    <vt:lpwstr>[OFFICIAL] - Please treat this information as Official</vt:lpwstr>
  </property>
  <property fmtid="{D5CDD505-2E9C-101B-9397-08002B2CF9AE}" pid="5" name="MSIP_Label_b40b5f3c-9b1b-4f7d-9339-6974d1767da9_Enabled">
    <vt:lpwstr>true</vt:lpwstr>
  </property>
  <property fmtid="{D5CDD505-2E9C-101B-9397-08002B2CF9AE}" pid="6" name="MSIP_Label_b40b5f3c-9b1b-4f7d-9339-6974d1767da9_SetDate">
    <vt:lpwstr>2023-04-21T09:14:06Z</vt:lpwstr>
  </property>
  <property fmtid="{D5CDD505-2E9C-101B-9397-08002B2CF9AE}" pid="7" name="MSIP_Label_b40b5f3c-9b1b-4f7d-9339-6974d1767da9_Method">
    <vt:lpwstr>Standard</vt:lpwstr>
  </property>
  <property fmtid="{D5CDD505-2E9C-101B-9397-08002B2CF9AE}" pid="8" name="MSIP_Label_b40b5f3c-9b1b-4f7d-9339-6974d1767da9_Name">
    <vt:lpwstr>Official</vt:lpwstr>
  </property>
  <property fmtid="{D5CDD505-2E9C-101B-9397-08002B2CF9AE}" pid="9" name="MSIP_Label_b40b5f3c-9b1b-4f7d-9339-6974d1767da9_SiteId">
    <vt:lpwstr>2c282a6f-a0fc-4596-9ccc-2378f1b4cf1e</vt:lpwstr>
  </property>
  <property fmtid="{D5CDD505-2E9C-101B-9397-08002B2CF9AE}" pid="10" name="MSIP_Label_b40b5f3c-9b1b-4f7d-9339-6974d1767da9_ActionId">
    <vt:lpwstr>2a6edd97-0488-4584-8044-be3a15ebd6f1</vt:lpwstr>
  </property>
  <property fmtid="{D5CDD505-2E9C-101B-9397-08002B2CF9AE}" pid="11" name="MSIP_Label_b40b5f3c-9b1b-4f7d-9339-6974d1767da9_ContentBits">
    <vt:lpwstr>2</vt:lpwstr>
  </property>
</Properties>
</file>