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A81A" w14:textId="77777777" w:rsidR="005F7EEE" w:rsidRDefault="004A3478" w:rsidP="009B41DC">
      <w:pPr>
        <w:rPr>
          <w:b/>
        </w:rPr>
      </w:pPr>
      <w:r w:rsidRPr="00933892">
        <w:rPr>
          <w:b/>
        </w:rPr>
        <w:t>NORTH WEST REGIONAL COLLEGE</w:t>
      </w:r>
    </w:p>
    <w:p w14:paraId="01B4DB25" w14:textId="77777777" w:rsidR="004A3478" w:rsidRDefault="004A3478" w:rsidP="004A3478">
      <w:pPr>
        <w:rPr>
          <w:b/>
        </w:rPr>
      </w:pPr>
      <w:r w:rsidRPr="00933892">
        <w:rPr>
          <w:b/>
        </w:rPr>
        <w:t xml:space="preserve">EQUALITY SCREENING REPORT </w:t>
      </w:r>
    </w:p>
    <w:p w14:paraId="1247CAEC" w14:textId="77777777" w:rsidR="004A3478" w:rsidRPr="00933892" w:rsidRDefault="004A3478" w:rsidP="004A3478">
      <w:pPr>
        <w:rPr>
          <w:b/>
        </w:rPr>
      </w:pPr>
      <w:r w:rsidRPr="00933892">
        <w:rPr>
          <w:b/>
        </w:rPr>
        <w:t xml:space="preserve">POLICIES SCREENED IN QUARTER </w:t>
      </w:r>
      <w:r w:rsidR="00F45872">
        <w:rPr>
          <w:b/>
        </w:rPr>
        <w:t>2</w:t>
      </w:r>
      <w:r w:rsidR="00CD04FE">
        <w:rPr>
          <w:b/>
        </w:rPr>
        <w:t xml:space="preserve"> </w:t>
      </w:r>
      <w:r w:rsidRPr="00933892">
        <w:rPr>
          <w:b/>
        </w:rPr>
        <w:t>(</w:t>
      </w:r>
      <w:r w:rsidR="00F45872">
        <w:rPr>
          <w:b/>
        </w:rPr>
        <w:t>July</w:t>
      </w:r>
      <w:r w:rsidR="00CD04FE">
        <w:rPr>
          <w:b/>
        </w:rPr>
        <w:t xml:space="preserve"> 2021 to </w:t>
      </w:r>
      <w:r w:rsidR="00F45872">
        <w:rPr>
          <w:b/>
        </w:rPr>
        <w:t>September</w:t>
      </w:r>
      <w:r w:rsidR="00CD04FE">
        <w:rPr>
          <w:b/>
        </w:rPr>
        <w:t xml:space="preserve"> 2021)</w:t>
      </w:r>
      <w:r w:rsidR="00D87D15">
        <w:rPr>
          <w:b/>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244"/>
        <w:gridCol w:w="1389"/>
        <w:gridCol w:w="2297"/>
        <w:gridCol w:w="3402"/>
      </w:tblGrid>
      <w:tr w:rsidR="004A3478" w:rsidRPr="00933892" w14:paraId="42E0544C" w14:textId="77777777" w:rsidTr="003B2897">
        <w:trPr>
          <w:tblHeader/>
        </w:trPr>
        <w:tc>
          <w:tcPr>
            <w:tcW w:w="2689" w:type="dxa"/>
            <w:shd w:val="clear" w:color="auto" w:fill="EAF1DD"/>
          </w:tcPr>
          <w:p w14:paraId="67408737" w14:textId="77777777" w:rsidR="004A3478" w:rsidRPr="00933892" w:rsidRDefault="004A3478" w:rsidP="00034655">
            <w:pPr>
              <w:rPr>
                <w:b/>
              </w:rPr>
            </w:pPr>
            <w:r w:rsidRPr="00933892">
              <w:rPr>
                <w:b/>
              </w:rPr>
              <w:t>Policy title</w:t>
            </w:r>
          </w:p>
        </w:tc>
        <w:tc>
          <w:tcPr>
            <w:tcW w:w="5244" w:type="dxa"/>
            <w:shd w:val="clear" w:color="auto" w:fill="EAF1DD"/>
          </w:tcPr>
          <w:p w14:paraId="319044C3" w14:textId="77777777" w:rsidR="004A3478" w:rsidRPr="00933892" w:rsidRDefault="004A3478" w:rsidP="00034655">
            <w:pPr>
              <w:rPr>
                <w:b/>
              </w:rPr>
            </w:pPr>
            <w:r w:rsidRPr="00933892">
              <w:rPr>
                <w:b/>
              </w:rPr>
              <w:t>Aim of Policy</w:t>
            </w:r>
          </w:p>
        </w:tc>
        <w:tc>
          <w:tcPr>
            <w:tcW w:w="1389" w:type="dxa"/>
            <w:shd w:val="clear" w:color="auto" w:fill="EAF1DD"/>
          </w:tcPr>
          <w:p w14:paraId="06AAC961" w14:textId="77777777" w:rsidR="004A3478" w:rsidRPr="00933892" w:rsidRDefault="004A3478" w:rsidP="00034655">
            <w:pPr>
              <w:rPr>
                <w:b/>
              </w:rPr>
            </w:pPr>
            <w:r w:rsidRPr="00933892">
              <w:rPr>
                <w:b/>
              </w:rPr>
              <w:t>New / existing / revised policy</w:t>
            </w:r>
          </w:p>
        </w:tc>
        <w:tc>
          <w:tcPr>
            <w:tcW w:w="2297" w:type="dxa"/>
            <w:shd w:val="clear" w:color="auto" w:fill="EAF1DD"/>
          </w:tcPr>
          <w:p w14:paraId="60FC4E3A" w14:textId="77777777" w:rsidR="004A3478" w:rsidRPr="00933892" w:rsidRDefault="004A3478" w:rsidP="00034655">
            <w:pPr>
              <w:rPr>
                <w:b/>
              </w:rPr>
            </w:pPr>
            <w:r>
              <w:rPr>
                <w:b/>
              </w:rPr>
              <w:t>Date of Screening</w:t>
            </w:r>
          </w:p>
        </w:tc>
        <w:tc>
          <w:tcPr>
            <w:tcW w:w="3402" w:type="dxa"/>
            <w:shd w:val="clear" w:color="auto" w:fill="EAF1DD"/>
          </w:tcPr>
          <w:p w14:paraId="4A51E58E" w14:textId="77777777" w:rsidR="004A3478" w:rsidRPr="00933892" w:rsidRDefault="004A3478" w:rsidP="00034655">
            <w:pPr>
              <w:rPr>
                <w:b/>
              </w:rPr>
            </w:pPr>
            <w:r w:rsidRPr="00933892">
              <w:rPr>
                <w:b/>
              </w:rPr>
              <w:t>Screening decision</w:t>
            </w:r>
          </w:p>
        </w:tc>
      </w:tr>
      <w:tr w:rsidR="00CB6525" w:rsidRPr="00CB6525" w14:paraId="75D1B9B5" w14:textId="77777777" w:rsidTr="003B2897">
        <w:tc>
          <w:tcPr>
            <w:tcW w:w="2689" w:type="dxa"/>
            <w:shd w:val="clear" w:color="auto" w:fill="auto"/>
          </w:tcPr>
          <w:p w14:paraId="7CA4C681" w14:textId="77777777" w:rsidR="00CB6525" w:rsidRPr="00CB6525" w:rsidRDefault="00CB6525" w:rsidP="00D66AE7">
            <w:pPr>
              <w:rPr>
                <w:bCs/>
              </w:rPr>
            </w:pPr>
            <w:r>
              <w:rPr>
                <w:bCs/>
              </w:rPr>
              <w:t>Race Equality Policy</w:t>
            </w:r>
          </w:p>
        </w:tc>
        <w:tc>
          <w:tcPr>
            <w:tcW w:w="5244" w:type="dxa"/>
            <w:shd w:val="clear" w:color="auto" w:fill="auto"/>
          </w:tcPr>
          <w:p w14:paraId="586035BA" w14:textId="77777777" w:rsidR="00CB6525" w:rsidRPr="00CB6525" w:rsidRDefault="00CB6525" w:rsidP="00D66AE7">
            <w:pPr>
              <w:rPr>
                <w:bCs/>
              </w:rPr>
            </w:pPr>
            <w:r w:rsidRPr="00CB6525">
              <w:rPr>
                <w:bCs/>
              </w:rPr>
              <w:t>The aim of the policy is to promote equality on the grounds of race and to create a working and learning environment based on positive relations.</w:t>
            </w:r>
          </w:p>
          <w:p w14:paraId="7DFA0BF0" w14:textId="77777777" w:rsidR="00CB6525" w:rsidRPr="00CB6525" w:rsidRDefault="00CB6525" w:rsidP="00D66AE7">
            <w:pPr>
              <w:rPr>
                <w:bCs/>
              </w:rPr>
            </w:pPr>
          </w:p>
        </w:tc>
        <w:tc>
          <w:tcPr>
            <w:tcW w:w="1389" w:type="dxa"/>
            <w:shd w:val="clear" w:color="auto" w:fill="auto"/>
          </w:tcPr>
          <w:p w14:paraId="7CA9018D" w14:textId="77777777" w:rsidR="00CB6525" w:rsidRPr="00CB6525" w:rsidRDefault="00CB6525" w:rsidP="00D66AE7">
            <w:pPr>
              <w:rPr>
                <w:bCs/>
              </w:rPr>
            </w:pPr>
            <w:r>
              <w:rPr>
                <w:bCs/>
              </w:rPr>
              <w:t>Existing</w:t>
            </w:r>
          </w:p>
        </w:tc>
        <w:tc>
          <w:tcPr>
            <w:tcW w:w="2297" w:type="dxa"/>
            <w:shd w:val="clear" w:color="auto" w:fill="auto"/>
          </w:tcPr>
          <w:p w14:paraId="7AAD78BA" w14:textId="77777777" w:rsidR="00CB6525" w:rsidRPr="00CB6525" w:rsidRDefault="00CB6525" w:rsidP="00D66AE7">
            <w:pPr>
              <w:rPr>
                <w:bCs/>
              </w:rPr>
            </w:pPr>
            <w:r>
              <w:rPr>
                <w:bCs/>
              </w:rPr>
              <w:t>28 July 2021</w:t>
            </w:r>
          </w:p>
        </w:tc>
        <w:tc>
          <w:tcPr>
            <w:tcW w:w="3402" w:type="dxa"/>
            <w:shd w:val="clear" w:color="auto" w:fill="auto"/>
          </w:tcPr>
          <w:p w14:paraId="6BFD772C" w14:textId="4BCC0AAE" w:rsidR="00CB6525" w:rsidRPr="00CB6525" w:rsidRDefault="00CB6525" w:rsidP="00D66AE7">
            <w:pPr>
              <w:rPr>
                <w:bCs/>
              </w:rPr>
            </w:pPr>
            <w:r w:rsidRPr="00CB6525">
              <w:rPr>
                <w:bCs/>
              </w:rPr>
              <w:t xml:space="preserve">There is no adverse impact as the Policy outlines the college’s plan to treat all staff, students and applicants with respect and dignity, and seek to provide a positive working and learning environment free from racial discrimination, harassment or victimisation.  </w:t>
            </w:r>
          </w:p>
        </w:tc>
      </w:tr>
      <w:tr w:rsidR="00CB6525" w:rsidRPr="00CB6525" w14:paraId="4B7B8251" w14:textId="77777777" w:rsidTr="003B2897">
        <w:tc>
          <w:tcPr>
            <w:tcW w:w="2689" w:type="dxa"/>
            <w:shd w:val="clear" w:color="auto" w:fill="auto"/>
          </w:tcPr>
          <w:p w14:paraId="3F272D1D" w14:textId="53338A06" w:rsidR="00CB6525" w:rsidRPr="00CB6525" w:rsidRDefault="00CB6525" w:rsidP="00034655">
            <w:pPr>
              <w:rPr>
                <w:bCs/>
              </w:rPr>
            </w:pPr>
            <w:r w:rsidRPr="00CB6525">
              <w:rPr>
                <w:bCs/>
              </w:rPr>
              <w:t>Good Re</w:t>
            </w:r>
            <w:r>
              <w:rPr>
                <w:bCs/>
              </w:rPr>
              <w:t>lations Policy</w:t>
            </w:r>
          </w:p>
        </w:tc>
        <w:tc>
          <w:tcPr>
            <w:tcW w:w="5244" w:type="dxa"/>
            <w:shd w:val="clear" w:color="auto" w:fill="auto"/>
          </w:tcPr>
          <w:p w14:paraId="4F736D89" w14:textId="77777777" w:rsidR="00CB6525" w:rsidRPr="00CB6525" w:rsidRDefault="00CB6525" w:rsidP="00CB6525">
            <w:pPr>
              <w:rPr>
                <w:bCs/>
              </w:rPr>
            </w:pPr>
            <w:r w:rsidRPr="00CB6525">
              <w:rPr>
                <w:bCs/>
              </w:rPr>
              <w:t>The aims of this Policy are to ensure that equity and respect for difference are placed at the heart of the College’s structures, systems and culture; and to go beyond complying with legislation by ensuring organisational commitment to the principles and practices of equity, diversity and interdependence.</w:t>
            </w:r>
          </w:p>
          <w:p w14:paraId="5CFA781E" w14:textId="77777777" w:rsidR="00CB6525" w:rsidRPr="00CB6525" w:rsidRDefault="00CB6525" w:rsidP="00034655">
            <w:pPr>
              <w:rPr>
                <w:bCs/>
              </w:rPr>
            </w:pPr>
          </w:p>
        </w:tc>
        <w:tc>
          <w:tcPr>
            <w:tcW w:w="1389" w:type="dxa"/>
            <w:shd w:val="clear" w:color="auto" w:fill="auto"/>
          </w:tcPr>
          <w:p w14:paraId="0FDEF4C9" w14:textId="739B29C6" w:rsidR="00CB6525" w:rsidRPr="00CB6525" w:rsidRDefault="00CB6525" w:rsidP="00034655">
            <w:pPr>
              <w:rPr>
                <w:bCs/>
              </w:rPr>
            </w:pPr>
            <w:r>
              <w:rPr>
                <w:bCs/>
              </w:rPr>
              <w:t>Existing</w:t>
            </w:r>
          </w:p>
        </w:tc>
        <w:tc>
          <w:tcPr>
            <w:tcW w:w="2297" w:type="dxa"/>
            <w:shd w:val="clear" w:color="auto" w:fill="auto"/>
          </w:tcPr>
          <w:p w14:paraId="77618D58" w14:textId="45F1EE43" w:rsidR="00CB6525" w:rsidRPr="00CB6525" w:rsidRDefault="00CB6525" w:rsidP="00034655">
            <w:pPr>
              <w:rPr>
                <w:bCs/>
              </w:rPr>
            </w:pPr>
            <w:r>
              <w:rPr>
                <w:bCs/>
              </w:rPr>
              <w:t>30 July 2021</w:t>
            </w:r>
          </w:p>
        </w:tc>
        <w:tc>
          <w:tcPr>
            <w:tcW w:w="3402" w:type="dxa"/>
            <w:shd w:val="clear" w:color="auto" w:fill="auto"/>
          </w:tcPr>
          <w:p w14:paraId="7478705C" w14:textId="3F5834A6" w:rsidR="00CB6525" w:rsidRPr="00CB6525" w:rsidRDefault="00CB6525" w:rsidP="00034655">
            <w:pPr>
              <w:rPr>
                <w:bCs/>
              </w:rPr>
            </w:pPr>
            <w:r w:rsidRPr="00CB6525">
              <w:rPr>
                <w:bCs/>
              </w:rPr>
              <w:t>There is no adverse impact as the Policy outlines the college’s plan to treat all employees, students and stakeholders with respect and dignity.  Also, the College will seek to provide a positive learning and working environment, free from political, religious or racial discrimination, harassment or victimisation</w:t>
            </w:r>
          </w:p>
        </w:tc>
      </w:tr>
      <w:tr w:rsidR="008E1786" w:rsidRPr="005572FE" w14:paraId="06AB89C9" w14:textId="77777777" w:rsidTr="003B2897">
        <w:tc>
          <w:tcPr>
            <w:tcW w:w="2689" w:type="dxa"/>
            <w:shd w:val="clear" w:color="auto" w:fill="auto"/>
          </w:tcPr>
          <w:p w14:paraId="79509ABB" w14:textId="0A569720" w:rsidR="008E1786" w:rsidRDefault="008E1786" w:rsidP="004F2EE2">
            <w:pPr>
              <w:rPr>
                <w:bCs/>
              </w:rPr>
            </w:pPr>
            <w:r>
              <w:rPr>
                <w:bCs/>
              </w:rPr>
              <w:t>Learning Support Policy</w:t>
            </w:r>
          </w:p>
        </w:tc>
        <w:tc>
          <w:tcPr>
            <w:tcW w:w="5244" w:type="dxa"/>
            <w:shd w:val="clear" w:color="auto" w:fill="auto"/>
          </w:tcPr>
          <w:p w14:paraId="255C6FD2" w14:textId="77777777" w:rsidR="008E1786" w:rsidRPr="008E1786" w:rsidRDefault="008E1786" w:rsidP="008E1786">
            <w:r w:rsidRPr="008E1786">
              <w:t>The policy aims to:</w:t>
            </w:r>
          </w:p>
          <w:p w14:paraId="663A9877" w14:textId="77777777" w:rsidR="008E1786" w:rsidRPr="008E1786" w:rsidRDefault="008E1786" w:rsidP="008E1786">
            <w:pPr>
              <w:numPr>
                <w:ilvl w:val="0"/>
                <w:numId w:val="5"/>
              </w:numPr>
            </w:pPr>
            <w:r w:rsidRPr="008E1786">
              <w:t>Promote awareness of provision for Students with Learning Difficulties and Disabilities at NWRC.</w:t>
            </w:r>
          </w:p>
          <w:p w14:paraId="70F7EA83" w14:textId="77777777" w:rsidR="008E1786" w:rsidRPr="008E1786" w:rsidRDefault="008E1786" w:rsidP="008E1786">
            <w:pPr>
              <w:numPr>
                <w:ilvl w:val="0"/>
                <w:numId w:val="5"/>
              </w:numPr>
            </w:pPr>
            <w:r w:rsidRPr="008E1786">
              <w:t xml:space="preserve">Encourage good practice in all aspects of service delivery for </w:t>
            </w:r>
            <w:bookmarkStart w:id="0" w:name="_Hlk34752225"/>
            <w:r w:rsidRPr="008E1786">
              <w:t xml:space="preserve">Students with Learning Difficulties and </w:t>
            </w:r>
            <w:bookmarkEnd w:id="0"/>
            <w:r w:rsidRPr="008E1786">
              <w:t xml:space="preserve">Disabilities. </w:t>
            </w:r>
          </w:p>
          <w:p w14:paraId="71ECA942" w14:textId="77777777" w:rsidR="008E1786" w:rsidRPr="008E1786" w:rsidRDefault="008E1786" w:rsidP="008E1786">
            <w:pPr>
              <w:numPr>
                <w:ilvl w:val="0"/>
                <w:numId w:val="5"/>
              </w:numPr>
            </w:pPr>
            <w:r w:rsidRPr="008E1786">
              <w:t xml:space="preserve">Empower Students with Learning Difficulties and Disabilities to make informed decisions about their education, life experiences and wellbeing to allow </w:t>
            </w:r>
            <w:r w:rsidRPr="008E1786">
              <w:lastRenderedPageBreak/>
              <w:t>them to live independent lives and integrate within the community.</w:t>
            </w:r>
          </w:p>
          <w:p w14:paraId="1F264AFB" w14:textId="77777777" w:rsidR="008E1786" w:rsidRPr="008E1786" w:rsidRDefault="008E1786" w:rsidP="008E1786">
            <w:pPr>
              <w:numPr>
                <w:ilvl w:val="0"/>
                <w:numId w:val="5"/>
              </w:numPr>
            </w:pPr>
            <w:r w:rsidRPr="008E1786">
              <w:t>Provide and implement clear, accessible and consistent guidance in relation to the procedures.</w:t>
            </w:r>
          </w:p>
          <w:p w14:paraId="1B17385B" w14:textId="77777777" w:rsidR="008E1786" w:rsidRPr="008E1786" w:rsidRDefault="008E1786" w:rsidP="008E1786">
            <w:pPr>
              <w:numPr>
                <w:ilvl w:val="0"/>
                <w:numId w:val="5"/>
              </w:numPr>
            </w:pPr>
            <w:r w:rsidRPr="008E1786">
              <w:t>Encourage and promote continuous professional staff development in the approach to Students with Learning Difficulties and Disabilities provision.</w:t>
            </w:r>
          </w:p>
          <w:p w14:paraId="64D9C53C" w14:textId="77777777" w:rsidR="008E1786" w:rsidRPr="008E1786" w:rsidRDefault="008E1786" w:rsidP="008E1786">
            <w:pPr>
              <w:numPr>
                <w:ilvl w:val="0"/>
                <w:numId w:val="5"/>
              </w:numPr>
            </w:pPr>
            <w:r w:rsidRPr="008E1786">
              <w:t>Encourage and promote engagement with parents/guardians/responsible adults with learner consent.</w:t>
            </w:r>
          </w:p>
          <w:p w14:paraId="244CFDAF" w14:textId="77777777" w:rsidR="008E1786" w:rsidRDefault="008E1786" w:rsidP="00073DE0"/>
        </w:tc>
        <w:tc>
          <w:tcPr>
            <w:tcW w:w="1389" w:type="dxa"/>
            <w:shd w:val="clear" w:color="auto" w:fill="auto"/>
          </w:tcPr>
          <w:p w14:paraId="38ACDEE4" w14:textId="4C54AD84" w:rsidR="008E1786" w:rsidRDefault="008E1786" w:rsidP="00034655">
            <w:r>
              <w:lastRenderedPageBreak/>
              <w:t>Revised</w:t>
            </w:r>
          </w:p>
        </w:tc>
        <w:tc>
          <w:tcPr>
            <w:tcW w:w="2297" w:type="dxa"/>
            <w:shd w:val="clear" w:color="auto" w:fill="auto"/>
          </w:tcPr>
          <w:p w14:paraId="5AEFB322" w14:textId="0DC2C560" w:rsidR="008E1786" w:rsidRDefault="008E1786" w:rsidP="00034655">
            <w:r>
              <w:t>24 August 2021</w:t>
            </w:r>
          </w:p>
        </w:tc>
        <w:tc>
          <w:tcPr>
            <w:tcW w:w="3402" w:type="dxa"/>
            <w:shd w:val="clear" w:color="auto" w:fill="auto"/>
          </w:tcPr>
          <w:p w14:paraId="38B8052E" w14:textId="79316925" w:rsidR="008E1786" w:rsidRPr="00073DE0" w:rsidRDefault="008E1786" w:rsidP="00034655">
            <w:r w:rsidRPr="008E1786">
              <w:t xml:space="preserve">There is no adverse impact as the aim of the policy is to ensure all students, regardless of the section 75 category, have been given the same opportunities to receive learning support.   </w:t>
            </w:r>
          </w:p>
        </w:tc>
      </w:tr>
      <w:tr w:rsidR="009B41DC" w:rsidRPr="005572FE" w14:paraId="593F3A64" w14:textId="77777777" w:rsidTr="003B2897">
        <w:tc>
          <w:tcPr>
            <w:tcW w:w="2689" w:type="dxa"/>
            <w:shd w:val="clear" w:color="auto" w:fill="auto"/>
          </w:tcPr>
          <w:p w14:paraId="48FC3F5F" w14:textId="65EEA5D8" w:rsidR="009B41DC" w:rsidRDefault="009B41DC" w:rsidP="004F2EE2">
            <w:pPr>
              <w:rPr>
                <w:bCs/>
              </w:rPr>
            </w:pPr>
            <w:r>
              <w:rPr>
                <w:bCs/>
              </w:rPr>
              <w:t>Mobile Phone Policy</w:t>
            </w:r>
          </w:p>
        </w:tc>
        <w:tc>
          <w:tcPr>
            <w:tcW w:w="5244" w:type="dxa"/>
            <w:shd w:val="clear" w:color="auto" w:fill="auto"/>
          </w:tcPr>
          <w:p w14:paraId="338498F2" w14:textId="77777777" w:rsidR="009B41DC" w:rsidRPr="009B41DC" w:rsidRDefault="009B41DC" w:rsidP="009B41DC">
            <w:r w:rsidRPr="009B41DC">
              <w:t>The policy outlines the guidance on the use of mobile phones in the College and the implications of its misuse.</w:t>
            </w:r>
          </w:p>
          <w:p w14:paraId="1017F9CE" w14:textId="77777777" w:rsidR="009B41DC" w:rsidRPr="008E1786" w:rsidRDefault="009B41DC" w:rsidP="008E1786"/>
        </w:tc>
        <w:tc>
          <w:tcPr>
            <w:tcW w:w="1389" w:type="dxa"/>
            <w:shd w:val="clear" w:color="auto" w:fill="auto"/>
          </w:tcPr>
          <w:p w14:paraId="02D70298" w14:textId="735394BC" w:rsidR="009B41DC" w:rsidRDefault="009B41DC" w:rsidP="00034655">
            <w:r>
              <w:t>Revised</w:t>
            </w:r>
          </w:p>
        </w:tc>
        <w:tc>
          <w:tcPr>
            <w:tcW w:w="2297" w:type="dxa"/>
            <w:shd w:val="clear" w:color="auto" w:fill="auto"/>
          </w:tcPr>
          <w:p w14:paraId="0D8B41E3" w14:textId="50E69E55" w:rsidR="009B41DC" w:rsidRDefault="009B41DC" w:rsidP="00034655">
            <w:r>
              <w:t>1 September 2021</w:t>
            </w:r>
          </w:p>
        </w:tc>
        <w:tc>
          <w:tcPr>
            <w:tcW w:w="3402" w:type="dxa"/>
            <w:shd w:val="clear" w:color="auto" w:fill="auto"/>
          </w:tcPr>
          <w:p w14:paraId="326B4B94" w14:textId="54FE3A4A" w:rsidR="009B41DC" w:rsidRPr="008E1786" w:rsidRDefault="009B41DC" w:rsidP="00034655">
            <w:r>
              <w:t>No impact</w:t>
            </w:r>
          </w:p>
        </w:tc>
      </w:tr>
      <w:tr w:rsidR="009B41DC" w:rsidRPr="005572FE" w14:paraId="0A5CDB15" w14:textId="77777777" w:rsidTr="003B2897">
        <w:tc>
          <w:tcPr>
            <w:tcW w:w="2689" w:type="dxa"/>
            <w:shd w:val="clear" w:color="auto" w:fill="auto"/>
          </w:tcPr>
          <w:p w14:paraId="32742801" w14:textId="0BB79A85" w:rsidR="009B41DC" w:rsidRDefault="009B41DC" w:rsidP="004F2EE2">
            <w:pPr>
              <w:rPr>
                <w:bCs/>
              </w:rPr>
            </w:pPr>
            <w:r>
              <w:rPr>
                <w:bCs/>
              </w:rPr>
              <w:t>Curriculum Policy</w:t>
            </w:r>
          </w:p>
        </w:tc>
        <w:tc>
          <w:tcPr>
            <w:tcW w:w="5244" w:type="dxa"/>
            <w:shd w:val="clear" w:color="auto" w:fill="auto"/>
          </w:tcPr>
          <w:p w14:paraId="2D2F8C40" w14:textId="67430BA2" w:rsidR="009B41DC" w:rsidRPr="009B41DC" w:rsidRDefault="009B41DC" w:rsidP="009B41DC">
            <w:r w:rsidRPr="009B41DC">
              <w:t>This policy seeks to give a clear indication about what all students and stakeholders can expect from the College learning environment and the services that the College offers in all settings. It applies to all provision; Further Education, Higher Education, Work Based Learning, Entitlement Framework, Community and NIPS programmes and bespoke skills training.  The commitments described in the policy are expected to be experienced by all students and stakeholders and are intended to guide the development of specific strategies which support this policy</w:t>
            </w:r>
          </w:p>
        </w:tc>
        <w:tc>
          <w:tcPr>
            <w:tcW w:w="1389" w:type="dxa"/>
            <w:shd w:val="clear" w:color="auto" w:fill="auto"/>
          </w:tcPr>
          <w:p w14:paraId="14243D95" w14:textId="68A0541E" w:rsidR="009B41DC" w:rsidRDefault="009B41DC" w:rsidP="00034655">
            <w:r>
              <w:t>Revised</w:t>
            </w:r>
          </w:p>
        </w:tc>
        <w:tc>
          <w:tcPr>
            <w:tcW w:w="2297" w:type="dxa"/>
            <w:shd w:val="clear" w:color="auto" w:fill="auto"/>
          </w:tcPr>
          <w:p w14:paraId="4D5B37CC" w14:textId="550B4F00" w:rsidR="009B41DC" w:rsidRDefault="009B41DC" w:rsidP="00034655">
            <w:r>
              <w:t>1 September 2021</w:t>
            </w:r>
          </w:p>
        </w:tc>
        <w:tc>
          <w:tcPr>
            <w:tcW w:w="3402" w:type="dxa"/>
            <w:shd w:val="clear" w:color="auto" w:fill="auto"/>
          </w:tcPr>
          <w:p w14:paraId="3F786F91" w14:textId="692D6FA9" w:rsidR="009B41DC" w:rsidRDefault="009B41DC" w:rsidP="00034655">
            <w:r w:rsidRPr="009B41DC">
              <w:t>No impact on any of the Section 75 Equality Category</w:t>
            </w:r>
          </w:p>
        </w:tc>
      </w:tr>
      <w:tr w:rsidR="004F0CF5" w:rsidRPr="005572FE" w14:paraId="71321316" w14:textId="77777777" w:rsidTr="003B2897">
        <w:tc>
          <w:tcPr>
            <w:tcW w:w="2689" w:type="dxa"/>
            <w:shd w:val="clear" w:color="auto" w:fill="auto"/>
          </w:tcPr>
          <w:p w14:paraId="5F3C1D16" w14:textId="6E524911" w:rsidR="004F0CF5" w:rsidRDefault="004F0CF5" w:rsidP="004F2EE2">
            <w:pPr>
              <w:rPr>
                <w:bCs/>
              </w:rPr>
            </w:pPr>
            <w:r>
              <w:rPr>
                <w:bCs/>
              </w:rPr>
              <w:t>College Curriculum Plan</w:t>
            </w:r>
          </w:p>
        </w:tc>
        <w:tc>
          <w:tcPr>
            <w:tcW w:w="5244" w:type="dxa"/>
            <w:shd w:val="clear" w:color="auto" w:fill="auto"/>
          </w:tcPr>
          <w:p w14:paraId="2034B1FB" w14:textId="6060315E" w:rsidR="004F0CF5" w:rsidRPr="009B41DC" w:rsidRDefault="004F0CF5" w:rsidP="0002144D">
            <w:r w:rsidRPr="004F0CF5">
              <w:t>The College’s Curriculum Plan sets out the key priorities influencing the development of a holistic curriculum portfolio.  It is underpinned by the College Curriculum Policy.  Planning has taken place with Covid 19 implications on the impact of delivery and remote learning.</w:t>
            </w:r>
          </w:p>
        </w:tc>
        <w:tc>
          <w:tcPr>
            <w:tcW w:w="1389" w:type="dxa"/>
            <w:shd w:val="clear" w:color="auto" w:fill="auto"/>
          </w:tcPr>
          <w:p w14:paraId="209CAD9F" w14:textId="60DFDD22" w:rsidR="004F0CF5" w:rsidRDefault="004F0CF5" w:rsidP="00034655">
            <w:r>
              <w:t>Revised</w:t>
            </w:r>
          </w:p>
        </w:tc>
        <w:tc>
          <w:tcPr>
            <w:tcW w:w="2297" w:type="dxa"/>
            <w:shd w:val="clear" w:color="auto" w:fill="auto"/>
          </w:tcPr>
          <w:p w14:paraId="35BD7285" w14:textId="4CF14D2A" w:rsidR="004F0CF5" w:rsidRDefault="004F0CF5" w:rsidP="00034655">
            <w:r>
              <w:t>1 September 2021</w:t>
            </w:r>
          </w:p>
        </w:tc>
        <w:tc>
          <w:tcPr>
            <w:tcW w:w="3402" w:type="dxa"/>
            <w:shd w:val="clear" w:color="auto" w:fill="auto"/>
          </w:tcPr>
          <w:p w14:paraId="3FDF3647" w14:textId="499544FB" w:rsidR="004F0CF5" w:rsidRPr="009B41DC" w:rsidRDefault="004F0CF5" w:rsidP="00034655">
            <w:r w:rsidRPr="004F0CF5">
              <w:t>No impact on Section 75 categories</w:t>
            </w:r>
          </w:p>
        </w:tc>
      </w:tr>
      <w:tr w:rsidR="0029064C" w:rsidRPr="005572FE" w14:paraId="10111FDE" w14:textId="77777777" w:rsidTr="003B2897">
        <w:tc>
          <w:tcPr>
            <w:tcW w:w="2689" w:type="dxa"/>
            <w:shd w:val="clear" w:color="auto" w:fill="auto"/>
          </w:tcPr>
          <w:p w14:paraId="3088DB40" w14:textId="6F6A9495" w:rsidR="0029064C" w:rsidRDefault="0029064C" w:rsidP="004F2EE2">
            <w:pPr>
              <w:rPr>
                <w:bCs/>
              </w:rPr>
            </w:pPr>
            <w:r>
              <w:rPr>
                <w:bCs/>
              </w:rPr>
              <w:lastRenderedPageBreak/>
              <w:t>Data Breach Management Policy</w:t>
            </w:r>
          </w:p>
        </w:tc>
        <w:tc>
          <w:tcPr>
            <w:tcW w:w="5244" w:type="dxa"/>
            <w:shd w:val="clear" w:color="auto" w:fill="auto"/>
          </w:tcPr>
          <w:p w14:paraId="40959824" w14:textId="24D1CB03" w:rsidR="00C2798C" w:rsidRPr="00C2798C" w:rsidRDefault="00C2798C" w:rsidP="00C2798C">
            <w:r>
              <w:t>The</w:t>
            </w:r>
            <w:r w:rsidRPr="00C2798C">
              <w:t xml:space="preserve"> purpose of this procedure is to provide staff guidance should they identify or have suspicion that personal data has been compromised. This procedure outlines the steps the College will take in identifying a breach has occurred, containment and recovery, as well as assessing the risk/impact to individuals.</w:t>
            </w:r>
          </w:p>
          <w:p w14:paraId="0D4FF501" w14:textId="77777777" w:rsidR="0029064C" w:rsidRPr="004F0CF5" w:rsidRDefault="0029064C" w:rsidP="0002144D"/>
        </w:tc>
        <w:tc>
          <w:tcPr>
            <w:tcW w:w="1389" w:type="dxa"/>
            <w:shd w:val="clear" w:color="auto" w:fill="auto"/>
          </w:tcPr>
          <w:p w14:paraId="4F76D72B" w14:textId="17455159" w:rsidR="0029064C" w:rsidRDefault="00C2798C" w:rsidP="00034655">
            <w:r>
              <w:t>Existing</w:t>
            </w:r>
          </w:p>
        </w:tc>
        <w:tc>
          <w:tcPr>
            <w:tcW w:w="2297" w:type="dxa"/>
            <w:shd w:val="clear" w:color="auto" w:fill="auto"/>
          </w:tcPr>
          <w:p w14:paraId="1D29621E" w14:textId="0D718294" w:rsidR="0029064C" w:rsidRDefault="00C2798C" w:rsidP="00034655">
            <w:r>
              <w:t>10 September 2021</w:t>
            </w:r>
          </w:p>
        </w:tc>
        <w:tc>
          <w:tcPr>
            <w:tcW w:w="3402" w:type="dxa"/>
            <w:shd w:val="clear" w:color="auto" w:fill="auto"/>
          </w:tcPr>
          <w:p w14:paraId="7D29F7BA" w14:textId="77777777" w:rsidR="00C2798C" w:rsidRPr="00C2798C" w:rsidRDefault="00C2798C" w:rsidP="00C2798C">
            <w:r w:rsidRPr="00C2798C">
              <w:t>None as this policy has no adverse impact on any of the Section 75 categories</w:t>
            </w:r>
          </w:p>
          <w:p w14:paraId="57A5D60A" w14:textId="77777777" w:rsidR="0029064C" w:rsidRPr="004F0CF5" w:rsidRDefault="0029064C" w:rsidP="00034655"/>
        </w:tc>
      </w:tr>
      <w:tr w:rsidR="0029064C" w:rsidRPr="005572FE" w14:paraId="46A81C2C" w14:textId="77777777" w:rsidTr="003B2897">
        <w:tc>
          <w:tcPr>
            <w:tcW w:w="2689" w:type="dxa"/>
            <w:shd w:val="clear" w:color="auto" w:fill="auto"/>
          </w:tcPr>
          <w:p w14:paraId="1ACE0491" w14:textId="26879F10" w:rsidR="0029064C" w:rsidRDefault="00C2798C" w:rsidP="004F2EE2">
            <w:pPr>
              <w:rPr>
                <w:bCs/>
              </w:rPr>
            </w:pPr>
            <w:r w:rsidRPr="00C2798C">
              <w:rPr>
                <w:bCs/>
              </w:rPr>
              <w:t>Special Category Appropriate Policy Document</w:t>
            </w:r>
          </w:p>
        </w:tc>
        <w:tc>
          <w:tcPr>
            <w:tcW w:w="5244" w:type="dxa"/>
            <w:shd w:val="clear" w:color="auto" w:fill="auto"/>
          </w:tcPr>
          <w:p w14:paraId="6C91F016" w14:textId="283DE013" w:rsidR="0029064C" w:rsidRPr="004F0CF5" w:rsidRDefault="00C2798C" w:rsidP="0002144D">
            <w:r w:rsidRPr="00C2798C">
              <w:t xml:space="preserve">This policy outlines how the </w:t>
            </w:r>
            <w:r w:rsidRPr="00C2798C">
              <w:rPr>
                <w:lang w:val="en-US"/>
              </w:rPr>
              <w:t xml:space="preserve">College will comply with the requirements of the UK General Data Protection Regulations (UK GDPR), the Data Protection Act 2018 (DPA) and any associated legislation.  </w:t>
            </w:r>
            <w:r w:rsidRPr="00C2798C">
              <w:t>The College is required to have an appropriate policy document policy in place setting out and explaining our procedures and policies in relation to the processing of special category data</w:t>
            </w:r>
          </w:p>
        </w:tc>
        <w:tc>
          <w:tcPr>
            <w:tcW w:w="1389" w:type="dxa"/>
            <w:shd w:val="clear" w:color="auto" w:fill="auto"/>
          </w:tcPr>
          <w:p w14:paraId="35B46BC9" w14:textId="0203459A" w:rsidR="0029064C" w:rsidRDefault="00C2798C" w:rsidP="00034655">
            <w:r>
              <w:t>Revised</w:t>
            </w:r>
          </w:p>
        </w:tc>
        <w:tc>
          <w:tcPr>
            <w:tcW w:w="2297" w:type="dxa"/>
            <w:shd w:val="clear" w:color="auto" w:fill="auto"/>
          </w:tcPr>
          <w:p w14:paraId="6597D828" w14:textId="4DA521F4" w:rsidR="0029064C" w:rsidRDefault="00C2798C" w:rsidP="00034655">
            <w:r>
              <w:t>10 September 2021</w:t>
            </w:r>
          </w:p>
        </w:tc>
        <w:tc>
          <w:tcPr>
            <w:tcW w:w="3402" w:type="dxa"/>
            <w:shd w:val="clear" w:color="auto" w:fill="auto"/>
          </w:tcPr>
          <w:p w14:paraId="15664FC9" w14:textId="77777777" w:rsidR="00C2798C" w:rsidRPr="00C2798C" w:rsidRDefault="00C2798C" w:rsidP="00C2798C">
            <w:r w:rsidRPr="00C2798C">
              <w:t>None as this policy has no adverse impact on any of the Section 75 categories</w:t>
            </w:r>
          </w:p>
          <w:p w14:paraId="0D4C6414" w14:textId="77777777" w:rsidR="0029064C" w:rsidRPr="004F0CF5" w:rsidRDefault="0029064C" w:rsidP="00034655"/>
        </w:tc>
      </w:tr>
      <w:tr w:rsidR="0002144D" w:rsidRPr="005572FE" w14:paraId="110E7C56" w14:textId="77777777" w:rsidTr="003B2897">
        <w:tc>
          <w:tcPr>
            <w:tcW w:w="2689" w:type="dxa"/>
            <w:shd w:val="clear" w:color="auto" w:fill="auto"/>
          </w:tcPr>
          <w:p w14:paraId="287C9056" w14:textId="6CF87B37" w:rsidR="0002144D" w:rsidRDefault="0002144D" w:rsidP="004F2EE2">
            <w:pPr>
              <w:rPr>
                <w:bCs/>
              </w:rPr>
            </w:pPr>
            <w:r>
              <w:rPr>
                <w:bCs/>
              </w:rPr>
              <w:t>Tendering Policy</w:t>
            </w:r>
          </w:p>
        </w:tc>
        <w:tc>
          <w:tcPr>
            <w:tcW w:w="5244" w:type="dxa"/>
            <w:shd w:val="clear" w:color="auto" w:fill="auto"/>
          </w:tcPr>
          <w:p w14:paraId="4DBA0B95" w14:textId="021A38F9" w:rsidR="0002144D" w:rsidRPr="004F0CF5" w:rsidRDefault="0002144D" w:rsidP="0002144D">
            <w:r w:rsidRPr="0002144D">
              <w:t>To provide guidance on the procurement/purchasing of works, equipment, goods and services while obtaining best value for money</w:t>
            </w:r>
            <w:r>
              <w:t>.</w:t>
            </w:r>
          </w:p>
        </w:tc>
        <w:tc>
          <w:tcPr>
            <w:tcW w:w="1389" w:type="dxa"/>
            <w:shd w:val="clear" w:color="auto" w:fill="auto"/>
          </w:tcPr>
          <w:p w14:paraId="755B32E2" w14:textId="49918A65" w:rsidR="0002144D" w:rsidRDefault="0002144D" w:rsidP="00034655">
            <w:r>
              <w:t>Revised</w:t>
            </w:r>
          </w:p>
        </w:tc>
        <w:tc>
          <w:tcPr>
            <w:tcW w:w="2297" w:type="dxa"/>
            <w:shd w:val="clear" w:color="auto" w:fill="auto"/>
          </w:tcPr>
          <w:p w14:paraId="46BC0D8C" w14:textId="4B555C40" w:rsidR="0002144D" w:rsidRDefault="0002144D" w:rsidP="00034655">
            <w:r>
              <w:t>13 September 2021</w:t>
            </w:r>
          </w:p>
        </w:tc>
        <w:tc>
          <w:tcPr>
            <w:tcW w:w="3402" w:type="dxa"/>
            <w:shd w:val="clear" w:color="auto" w:fill="auto"/>
          </w:tcPr>
          <w:p w14:paraId="3760A108" w14:textId="08A0E1A5" w:rsidR="0002144D" w:rsidRPr="004F0CF5" w:rsidRDefault="0002144D" w:rsidP="00034655">
            <w:r w:rsidRPr="0002144D">
              <w:t>No impact on any of the Section 75 equality categories</w:t>
            </w:r>
          </w:p>
        </w:tc>
      </w:tr>
      <w:tr w:rsidR="00C43F16" w:rsidRPr="005572FE" w14:paraId="6C252688" w14:textId="77777777" w:rsidTr="003B2897">
        <w:tc>
          <w:tcPr>
            <w:tcW w:w="2689" w:type="dxa"/>
            <w:shd w:val="clear" w:color="auto" w:fill="auto"/>
          </w:tcPr>
          <w:p w14:paraId="63E78CF2" w14:textId="52E49C5A" w:rsidR="00C43F16" w:rsidRDefault="00C2798C" w:rsidP="004F2EE2">
            <w:pPr>
              <w:rPr>
                <w:bCs/>
              </w:rPr>
            </w:pPr>
            <w:r>
              <w:rPr>
                <w:bCs/>
              </w:rPr>
              <w:t>Attendance Policy</w:t>
            </w:r>
          </w:p>
        </w:tc>
        <w:tc>
          <w:tcPr>
            <w:tcW w:w="5244" w:type="dxa"/>
            <w:shd w:val="clear" w:color="auto" w:fill="auto"/>
          </w:tcPr>
          <w:p w14:paraId="4673F7C2" w14:textId="77777777" w:rsidR="003B2897" w:rsidRPr="003B2897" w:rsidRDefault="003B2897" w:rsidP="003B2897">
            <w:r w:rsidRPr="003B2897">
              <w:t xml:space="preserve">This policy outlines the approach taken by North West Regional College (NWRC) to promote maximum attendance and punctuality as an approach to attain optimum student achievement. The Policy will work in line with the college Student Retention Strategy, to ensure that early interventions are in place to support student success.  This policy includes responsibilities of students and staff, and it covers the specific monitoring of attendance for students in receipt of financial support.  The policy applies to all learning - face-to-face or remote and covers all full time, Further &amp; Higher Education, Training for Success Apprenticeships and </w:t>
            </w:r>
            <w:r w:rsidRPr="003B2897">
              <w:lastRenderedPageBreak/>
              <w:t>substantial part time courses inclusive of community provision.</w:t>
            </w:r>
          </w:p>
          <w:p w14:paraId="45170F55" w14:textId="77777777" w:rsidR="00C43F16" w:rsidRPr="0002144D" w:rsidRDefault="00C43F16" w:rsidP="0002144D"/>
        </w:tc>
        <w:tc>
          <w:tcPr>
            <w:tcW w:w="1389" w:type="dxa"/>
            <w:shd w:val="clear" w:color="auto" w:fill="auto"/>
          </w:tcPr>
          <w:p w14:paraId="20B40D8B" w14:textId="160D35F3" w:rsidR="00C43F16" w:rsidRDefault="003B2897" w:rsidP="00034655">
            <w:r>
              <w:lastRenderedPageBreak/>
              <w:t>Revised</w:t>
            </w:r>
          </w:p>
        </w:tc>
        <w:tc>
          <w:tcPr>
            <w:tcW w:w="2297" w:type="dxa"/>
            <w:shd w:val="clear" w:color="auto" w:fill="auto"/>
          </w:tcPr>
          <w:p w14:paraId="367842EC" w14:textId="147F0081" w:rsidR="00C43F16" w:rsidRDefault="003B2897" w:rsidP="00034655">
            <w:r>
              <w:t>17 September 2021</w:t>
            </w:r>
          </w:p>
        </w:tc>
        <w:tc>
          <w:tcPr>
            <w:tcW w:w="3402" w:type="dxa"/>
            <w:shd w:val="clear" w:color="auto" w:fill="auto"/>
          </w:tcPr>
          <w:p w14:paraId="3EAC1EC4" w14:textId="658938D9" w:rsidR="00C43F16" w:rsidRPr="0002144D" w:rsidRDefault="003B2897" w:rsidP="00034655">
            <w:r w:rsidRPr="003B2897">
              <w:t xml:space="preserve">There is no impact on equality in relation to this policy.  All students will be treated </w:t>
            </w:r>
            <w:proofErr w:type="gramStart"/>
            <w:r w:rsidRPr="003B2897">
              <w:t>equally</w:t>
            </w:r>
            <w:proofErr w:type="gramEnd"/>
            <w:r w:rsidRPr="003B2897">
              <w:t xml:space="preserve"> and support provided as necessary to reduce absenteeism.</w:t>
            </w:r>
          </w:p>
        </w:tc>
      </w:tr>
      <w:tr w:rsidR="00C43F16" w:rsidRPr="005572FE" w14:paraId="3169A349" w14:textId="77777777" w:rsidTr="003B2897">
        <w:tc>
          <w:tcPr>
            <w:tcW w:w="2689" w:type="dxa"/>
            <w:shd w:val="clear" w:color="auto" w:fill="auto"/>
          </w:tcPr>
          <w:p w14:paraId="1492A882" w14:textId="342628EF" w:rsidR="00C43F16" w:rsidRDefault="00C2798C" w:rsidP="004F2EE2">
            <w:pPr>
              <w:rPr>
                <w:bCs/>
              </w:rPr>
            </w:pPr>
            <w:r>
              <w:rPr>
                <w:bCs/>
              </w:rPr>
              <w:lastRenderedPageBreak/>
              <w:t>Antibullying Harassment Policy</w:t>
            </w:r>
          </w:p>
        </w:tc>
        <w:tc>
          <w:tcPr>
            <w:tcW w:w="5244" w:type="dxa"/>
            <w:shd w:val="clear" w:color="auto" w:fill="auto"/>
          </w:tcPr>
          <w:p w14:paraId="58860C1B" w14:textId="77777777" w:rsidR="003B2897" w:rsidRPr="003B2897" w:rsidRDefault="003B2897" w:rsidP="003B2897">
            <w:r w:rsidRPr="003B2897">
              <w:t>The aims of this policy are to</w:t>
            </w:r>
          </w:p>
          <w:p w14:paraId="298B4F5C" w14:textId="77777777" w:rsidR="003B2897" w:rsidRPr="003B2897" w:rsidRDefault="003B2897" w:rsidP="003B2897"/>
          <w:p w14:paraId="6070574F" w14:textId="77777777" w:rsidR="003B2897" w:rsidRPr="003B2897" w:rsidRDefault="003B2897" w:rsidP="003B2897">
            <w:pPr>
              <w:numPr>
                <w:ilvl w:val="1"/>
                <w:numId w:val="6"/>
              </w:numPr>
              <w:ind w:left="360"/>
            </w:pPr>
            <w:r w:rsidRPr="003B2897">
              <w:t>Demonstrate the College’s commitment to the prevention of bullying and harassment, as part of its safeguarding duties.</w:t>
            </w:r>
          </w:p>
          <w:p w14:paraId="50D25833" w14:textId="77777777" w:rsidR="003B2897" w:rsidRPr="003B2897" w:rsidRDefault="003B2897" w:rsidP="003B2897"/>
          <w:p w14:paraId="308E88F3" w14:textId="77777777" w:rsidR="003B2897" w:rsidRPr="003B2897" w:rsidRDefault="003B2897" w:rsidP="003B2897">
            <w:pPr>
              <w:numPr>
                <w:ilvl w:val="1"/>
                <w:numId w:val="6"/>
              </w:numPr>
              <w:ind w:left="360"/>
            </w:pPr>
            <w:r w:rsidRPr="003B2897">
              <w:t>Provide guidance and definitions of the type of behaviour the College deems to be unacceptable with regard to bullying and harassment.</w:t>
            </w:r>
          </w:p>
          <w:p w14:paraId="6728A5BF" w14:textId="77777777" w:rsidR="003B2897" w:rsidRPr="003B2897" w:rsidRDefault="003B2897" w:rsidP="003B2897"/>
          <w:p w14:paraId="1D6B7791" w14:textId="77777777" w:rsidR="003B2897" w:rsidRPr="003B2897" w:rsidRDefault="003B2897" w:rsidP="003B2897">
            <w:pPr>
              <w:numPr>
                <w:ilvl w:val="1"/>
                <w:numId w:val="6"/>
              </w:numPr>
              <w:ind w:left="360"/>
            </w:pPr>
            <w:r w:rsidRPr="003B2897">
              <w:t>Provide information and guidance to students who feel they have been the victim of, or have been accused of, bullying and harassment.</w:t>
            </w:r>
          </w:p>
          <w:p w14:paraId="595736A0" w14:textId="77777777" w:rsidR="00C43F16" w:rsidRPr="0002144D" w:rsidRDefault="00C43F16" w:rsidP="0002144D"/>
        </w:tc>
        <w:tc>
          <w:tcPr>
            <w:tcW w:w="1389" w:type="dxa"/>
            <w:shd w:val="clear" w:color="auto" w:fill="auto"/>
          </w:tcPr>
          <w:p w14:paraId="01D78932" w14:textId="63882C8D" w:rsidR="00C43F16" w:rsidRDefault="003B2897" w:rsidP="00034655">
            <w:r>
              <w:t>Revised</w:t>
            </w:r>
          </w:p>
        </w:tc>
        <w:tc>
          <w:tcPr>
            <w:tcW w:w="2297" w:type="dxa"/>
            <w:shd w:val="clear" w:color="auto" w:fill="auto"/>
          </w:tcPr>
          <w:p w14:paraId="44B6FA50" w14:textId="2FA9B30B" w:rsidR="00C43F16" w:rsidRDefault="003B2897" w:rsidP="00034655">
            <w:r>
              <w:t>20 September 2021</w:t>
            </w:r>
          </w:p>
        </w:tc>
        <w:tc>
          <w:tcPr>
            <w:tcW w:w="3402" w:type="dxa"/>
            <w:shd w:val="clear" w:color="auto" w:fill="auto"/>
          </w:tcPr>
          <w:p w14:paraId="3AAD9CEA" w14:textId="592B2BDA" w:rsidR="00C43F16" w:rsidRPr="0002144D" w:rsidRDefault="003B2897" w:rsidP="00034655">
            <w:r w:rsidRPr="003B2897">
              <w:t>There is no impact on equality in relation to this policy as the policy is for all students regardless of their section 75 equality category.</w:t>
            </w:r>
          </w:p>
        </w:tc>
      </w:tr>
      <w:tr w:rsidR="00C43F16" w:rsidRPr="005572FE" w14:paraId="11A781BC" w14:textId="77777777" w:rsidTr="003B2897">
        <w:tc>
          <w:tcPr>
            <w:tcW w:w="2689" w:type="dxa"/>
            <w:shd w:val="clear" w:color="auto" w:fill="auto"/>
          </w:tcPr>
          <w:p w14:paraId="1A4F8B26" w14:textId="1130F6C2" w:rsidR="00C43F16" w:rsidRDefault="00C2798C" w:rsidP="004F2EE2">
            <w:pPr>
              <w:rPr>
                <w:bCs/>
              </w:rPr>
            </w:pPr>
            <w:r>
              <w:rPr>
                <w:bCs/>
              </w:rPr>
              <w:t>Tutorial Policy</w:t>
            </w:r>
          </w:p>
        </w:tc>
        <w:tc>
          <w:tcPr>
            <w:tcW w:w="5244" w:type="dxa"/>
            <w:shd w:val="clear" w:color="auto" w:fill="auto"/>
          </w:tcPr>
          <w:p w14:paraId="1A2ABA65" w14:textId="77777777" w:rsidR="003B2897" w:rsidRPr="003B2897" w:rsidRDefault="003B2897" w:rsidP="003B2897">
            <w:r w:rsidRPr="003B2897">
              <w:rPr>
                <w:lang w:val="en-US"/>
              </w:rPr>
              <w:t xml:space="preserve">The College is committed to ensuring that tutorial support is provided in a planned, consistent and supportive way to ensure students successfully achieve and progress.  The policy </w:t>
            </w:r>
            <w:r w:rsidRPr="003B2897">
              <w:t xml:space="preserve">seeks to enhance the experience of all students on substantive programmes via the tutorial programme and of all students via the tutoring process. </w:t>
            </w:r>
          </w:p>
          <w:p w14:paraId="7899EADF" w14:textId="77777777" w:rsidR="00C43F16" w:rsidRPr="0002144D" w:rsidRDefault="00C43F16" w:rsidP="0002144D"/>
        </w:tc>
        <w:tc>
          <w:tcPr>
            <w:tcW w:w="1389" w:type="dxa"/>
            <w:shd w:val="clear" w:color="auto" w:fill="auto"/>
          </w:tcPr>
          <w:p w14:paraId="43D46473" w14:textId="5C667630" w:rsidR="00C43F16" w:rsidRDefault="003B2897" w:rsidP="00034655">
            <w:r>
              <w:t>Revised</w:t>
            </w:r>
          </w:p>
        </w:tc>
        <w:tc>
          <w:tcPr>
            <w:tcW w:w="2297" w:type="dxa"/>
            <w:shd w:val="clear" w:color="auto" w:fill="auto"/>
          </w:tcPr>
          <w:p w14:paraId="461E57EF" w14:textId="062A8582" w:rsidR="00C43F16" w:rsidRDefault="003B2897" w:rsidP="00034655">
            <w:r>
              <w:t>20 September 2021</w:t>
            </w:r>
          </w:p>
        </w:tc>
        <w:tc>
          <w:tcPr>
            <w:tcW w:w="3402" w:type="dxa"/>
            <w:shd w:val="clear" w:color="auto" w:fill="auto"/>
          </w:tcPr>
          <w:p w14:paraId="15204298" w14:textId="32349A17" w:rsidR="00C43F16" w:rsidRPr="0002144D" w:rsidRDefault="003B2897" w:rsidP="00034655">
            <w:r w:rsidRPr="003B2897">
              <w:t>There is no impact on equality in relation to this policy as the policy is for all students regardless of their section 75 equality category.</w:t>
            </w:r>
          </w:p>
        </w:tc>
      </w:tr>
      <w:tr w:rsidR="00C43F16" w:rsidRPr="005572FE" w14:paraId="50DAEAE6" w14:textId="77777777" w:rsidTr="003B2897">
        <w:tc>
          <w:tcPr>
            <w:tcW w:w="2689" w:type="dxa"/>
            <w:shd w:val="clear" w:color="auto" w:fill="auto"/>
          </w:tcPr>
          <w:p w14:paraId="3D216D70" w14:textId="5B1A55DA" w:rsidR="00C43F16" w:rsidRDefault="00C2798C" w:rsidP="004F2EE2">
            <w:pPr>
              <w:rPr>
                <w:bCs/>
              </w:rPr>
            </w:pPr>
            <w:r>
              <w:rPr>
                <w:bCs/>
              </w:rPr>
              <w:t>Records Management Policy</w:t>
            </w:r>
          </w:p>
        </w:tc>
        <w:tc>
          <w:tcPr>
            <w:tcW w:w="5244" w:type="dxa"/>
            <w:shd w:val="clear" w:color="auto" w:fill="auto"/>
          </w:tcPr>
          <w:p w14:paraId="3D948C19" w14:textId="77777777" w:rsidR="003B2897" w:rsidRPr="003B2897" w:rsidRDefault="003B2897" w:rsidP="003B2897">
            <w:r w:rsidRPr="003B2897">
              <w:t xml:space="preserve">This policy will provide a framework for managing the College’s records in accordance with the FE Sector Retention and Disposal Schedule.  Its aim is to advise and assist staff across the College in fulfilling their responsibilities and obligations in the important area of </w:t>
            </w:r>
            <w:r w:rsidRPr="003B2897">
              <w:lastRenderedPageBreak/>
              <w:t>record management.  It is based on a number of practical aims:</w:t>
            </w:r>
          </w:p>
          <w:p w14:paraId="06CF7B25" w14:textId="77777777" w:rsidR="003B2897" w:rsidRPr="003B2897" w:rsidRDefault="003B2897" w:rsidP="003B2897">
            <w:pPr>
              <w:numPr>
                <w:ilvl w:val="0"/>
                <w:numId w:val="7"/>
              </w:numPr>
              <w:ind w:left="360"/>
            </w:pPr>
            <w:r w:rsidRPr="003B2897">
              <w:t>demonstrate and evidence the filing and disposal of records to evidence accountability;</w:t>
            </w:r>
          </w:p>
          <w:p w14:paraId="60B3E8AC" w14:textId="77777777" w:rsidR="003B2897" w:rsidRPr="003B2897" w:rsidRDefault="003B2897" w:rsidP="003B2897">
            <w:pPr>
              <w:numPr>
                <w:ilvl w:val="0"/>
                <w:numId w:val="7"/>
              </w:numPr>
              <w:ind w:left="360"/>
            </w:pPr>
            <w:r w:rsidRPr="003B2897">
              <w:t>secure maintenance and access to records;</w:t>
            </w:r>
          </w:p>
          <w:p w14:paraId="70F1EB18" w14:textId="77777777" w:rsidR="003B2897" w:rsidRPr="003B2897" w:rsidRDefault="003B2897" w:rsidP="003B2897">
            <w:pPr>
              <w:numPr>
                <w:ilvl w:val="0"/>
                <w:numId w:val="7"/>
              </w:numPr>
              <w:ind w:left="360"/>
            </w:pPr>
            <w:r w:rsidRPr="003B2897">
              <w:t>Minimise the risk of breaches and inappropriate use of personal data;</w:t>
            </w:r>
          </w:p>
          <w:p w14:paraId="0BD4E50B" w14:textId="77777777" w:rsidR="003B2897" w:rsidRPr="003B2897" w:rsidRDefault="003B2897" w:rsidP="003B2897">
            <w:pPr>
              <w:numPr>
                <w:ilvl w:val="0"/>
                <w:numId w:val="7"/>
              </w:numPr>
              <w:ind w:left="360"/>
            </w:pPr>
            <w:r w:rsidRPr="003B2897">
              <w:t>confidential destruction of records as soon as they are no longer required;</w:t>
            </w:r>
          </w:p>
          <w:p w14:paraId="01638B13" w14:textId="77777777" w:rsidR="003B2897" w:rsidRPr="003B2897" w:rsidRDefault="003B2897" w:rsidP="003B2897">
            <w:pPr>
              <w:numPr>
                <w:ilvl w:val="0"/>
                <w:numId w:val="7"/>
              </w:numPr>
              <w:ind w:left="360"/>
            </w:pPr>
            <w:r w:rsidRPr="003B2897">
              <w:t>adherence to all legal obligations;</w:t>
            </w:r>
          </w:p>
          <w:p w14:paraId="77E2F1A3" w14:textId="77777777" w:rsidR="003B2897" w:rsidRDefault="003B2897" w:rsidP="003B2897">
            <w:pPr>
              <w:numPr>
                <w:ilvl w:val="0"/>
                <w:numId w:val="7"/>
              </w:numPr>
              <w:ind w:left="360"/>
            </w:pPr>
            <w:r w:rsidRPr="003B2897">
              <w:t>secure identification and archiving of records;</w:t>
            </w:r>
          </w:p>
          <w:p w14:paraId="46702C17" w14:textId="7A17A35C" w:rsidR="00C43F16" w:rsidRPr="0002144D" w:rsidRDefault="003B2897" w:rsidP="003B2897">
            <w:pPr>
              <w:numPr>
                <w:ilvl w:val="0"/>
                <w:numId w:val="7"/>
              </w:numPr>
              <w:ind w:left="360"/>
            </w:pPr>
            <w:r w:rsidRPr="003B2897">
              <w:t>College wide staff awareness of all records management and related issues</w:t>
            </w:r>
          </w:p>
        </w:tc>
        <w:tc>
          <w:tcPr>
            <w:tcW w:w="1389" w:type="dxa"/>
            <w:shd w:val="clear" w:color="auto" w:fill="auto"/>
          </w:tcPr>
          <w:p w14:paraId="5858565B" w14:textId="0DE0FF61" w:rsidR="00C43F16" w:rsidRDefault="003B2897" w:rsidP="00034655">
            <w:r>
              <w:lastRenderedPageBreak/>
              <w:t>New</w:t>
            </w:r>
          </w:p>
        </w:tc>
        <w:tc>
          <w:tcPr>
            <w:tcW w:w="2297" w:type="dxa"/>
            <w:shd w:val="clear" w:color="auto" w:fill="auto"/>
          </w:tcPr>
          <w:p w14:paraId="4FF5BF65" w14:textId="3E2236B6" w:rsidR="00C43F16" w:rsidRDefault="003B2897" w:rsidP="00034655">
            <w:r>
              <w:t>20 September 2021</w:t>
            </w:r>
          </w:p>
        </w:tc>
        <w:tc>
          <w:tcPr>
            <w:tcW w:w="3402" w:type="dxa"/>
            <w:shd w:val="clear" w:color="auto" w:fill="auto"/>
          </w:tcPr>
          <w:p w14:paraId="35EE42F5" w14:textId="77777777" w:rsidR="003B2897" w:rsidRPr="003B2897" w:rsidRDefault="003B2897" w:rsidP="003B2897">
            <w:r w:rsidRPr="003B2897">
              <w:t>None as this policy has no adverse impact on any of the Section 75 categories</w:t>
            </w:r>
          </w:p>
          <w:p w14:paraId="21BC5378" w14:textId="77777777" w:rsidR="00C43F16" w:rsidRPr="0002144D" w:rsidRDefault="00C43F16" w:rsidP="00034655"/>
        </w:tc>
      </w:tr>
      <w:tr w:rsidR="00C2798C" w:rsidRPr="005572FE" w14:paraId="49BFAEAE" w14:textId="77777777" w:rsidTr="003B2897">
        <w:tc>
          <w:tcPr>
            <w:tcW w:w="2689" w:type="dxa"/>
            <w:shd w:val="clear" w:color="auto" w:fill="auto"/>
          </w:tcPr>
          <w:p w14:paraId="082258CC" w14:textId="3446C117" w:rsidR="00C2798C" w:rsidRDefault="00C2798C" w:rsidP="004F2EE2">
            <w:pPr>
              <w:rPr>
                <w:bCs/>
              </w:rPr>
            </w:pPr>
            <w:r>
              <w:rPr>
                <w:bCs/>
              </w:rPr>
              <w:t>Responding to Student’s Death Policy</w:t>
            </w:r>
          </w:p>
        </w:tc>
        <w:tc>
          <w:tcPr>
            <w:tcW w:w="5244" w:type="dxa"/>
            <w:shd w:val="clear" w:color="auto" w:fill="auto"/>
          </w:tcPr>
          <w:p w14:paraId="40C8E0CF" w14:textId="77777777" w:rsidR="003B2897" w:rsidRPr="003B2897" w:rsidRDefault="003B2897" w:rsidP="003B2897">
            <w:r w:rsidRPr="003B2897">
              <w:t>This procedure is intended to provide guidance to staff and to identify appropriate lines of communication and areas of responsibility for those handling the consequences of a student death.</w:t>
            </w:r>
          </w:p>
          <w:p w14:paraId="28B53352" w14:textId="77777777" w:rsidR="00C2798C" w:rsidRPr="0002144D" w:rsidRDefault="00C2798C" w:rsidP="0002144D"/>
        </w:tc>
        <w:tc>
          <w:tcPr>
            <w:tcW w:w="1389" w:type="dxa"/>
            <w:shd w:val="clear" w:color="auto" w:fill="auto"/>
          </w:tcPr>
          <w:p w14:paraId="4A7EA6E2" w14:textId="54137510" w:rsidR="00C2798C" w:rsidRDefault="003B2897" w:rsidP="00034655">
            <w:r>
              <w:t>Revised</w:t>
            </w:r>
          </w:p>
        </w:tc>
        <w:tc>
          <w:tcPr>
            <w:tcW w:w="2297" w:type="dxa"/>
            <w:shd w:val="clear" w:color="auto" w:fill="auto"/>
          </w:tcPr>
          <w:p w14:paraId="77D4FAA0" w14:textId="54143267" w:rsidR="00C2798C" w:rsidRDefault="003B2897" w:rsidP="00034655">
            <w:r>
              <w:t>20 September 2021</w:t>
            </w:r>
          </w:p>
        </w:tc>
        <w:tc>
          <w:tcPr>
            <w:tcW w:w="3402" w:type="dxa"/>
            <w:shd w:val="clear" w:color="auto" w:fill="auto"/>
          </w:tcPr>
          <w:p w14:paraId="645FA0F9" w14:textId="77777777" w:rsidR="003B2897" w:rsidRPr="003B2897" w:rsidRDefault="003B2897" w:rsidP="003B2897">
            <w:r w:rsidRPr="003B2897">
              <w:t>None as this policy has no adverse impact on any of the Section 75 categories</w:t>
            </w:r>
          </w:p>
          <w:p w14:paraId="409FB3C0" w14:textId="77777777" w:rsidR="00C2798C" w:rsidRPr="0002144D" w:rsidRDefault="00C2798C" w:rsidP="00034655"/>
        </w:tc>
      </w:tr>
      <w:tr w:rsidR="00C43F16" w:rsidRPr="005572FE" w14:paraId="4554D483" w14:textId="77777777" w:rsidTr="003B2897">
        <w:tc>
          <w:tcPr>
            <w:tcW w:w="2689" w:type="dxa"/>
            <w:shd w:val="clear" w:color="auto" w:fill="auto"/>
          </w:tcPr>
          <w:p w14:paraId="68428C7A" w14:textId="4D4D8CA8" w:rsidR="00C43F16" w:rsidRDefault="00C43F16" w:rsidP="004F2EE2">
            <w:pPr>
              <w:rPr>
                <w:bCs/>
              </w:rPr>
            </w:pPr>
            <w:r>
              <w:rPr>
                <w:bCs/>
              </w:rPr>
              <w:t>Research Ethics Policy</w:t>
            </w:r>
          </w:p>
        </w:tc>
        <w:tc>
          <w:tcPr>
            <w:tcW w:w="5244" w:type="dxa"/>
            <w:shd w:val="clear" w:color="auto" w:fill="auto"/>
          </w:tcPr>
          <w:p w14:paraId="5C1415FC" w14:textId="3CC97E9F" w:rsidR="00C43F16" w:rsidRPr="0002144D" w:rsidRDefault="00C43F16" w:rsidP="0002144D">
            <w:r w:rsidRPr="00C43F16">
              <w:t>The aim of this policy is to establish and promote good ethical practice in the conduct of academic research.  It requires that researchers must address ethical issues, the sensitivity of participants and their information, and provide adequate guarantees with regard to these issues</w:t>
            </w:r>
          </w:p>
        </w:tc>
        <w:tc>
          <w:tcPr>
            <w:tcW w:w="1389" w:type="dxa"/>
            <w:shd w:val="clear" w:color="auto" w:fill="auto"/>
          </w:tcPr>
          <w:p w14:paraId="099C5372" w14:textId="3D5E9F45" w:rsidR="00C43F16" w:rsidRDefault="00C43F16" w:rsidP="00034655">
            <w:r>
              <w:t>Existing</w:t>
            </w:r>
          </w:p>
        </w:tc>
        <w:tc>
          <w:tcPr>
            <w:tcW w:w="2297" w:type="dxa"/>
            <w:shd w:val="clear" w:color="auto" w:fill="auto"/>
          </w:tcPr>
          <w:p w14:paraId="4D39E94C" w14:textId="21708467" w:rsidR="00C43F16" w:rsidRDefault="00C43F16" w:rsidP="00034655">
            <w:r>
              <w:t>23 September 2021</w:t>
            </w:r>
          </w:p>
        </w:tc>
        <w:tc>
          <w:tcPr>
            <w:tcW w:w="3402" w:type="dxa"/>
            <w:shd w:val="clear" w:color="auto" w:fill="auto"/>
          </w:tcPr>
          <w:p w14:paraId="01539548" w14:textId="77777777" w:rsidR="00C43F16" w:rsidRPr="00C43F16" w:rsidRDefault="00C43F16" w:rsidP="00C43F16">
            <w:r w:rsidRPr="00C43F16">
              <w:t>The policy provides guidance to staff and students undertaking research to ensure appropriate ethical scrutiny is undertaken. The policy has no impact on equality.</w:t>
            </w:r>
          </w:p>
          <w:p w14:paraId="41B7DAE2" w14:textId="77777777" w:rsidR="00C43F16" w:rsidRPr="0002144D" w:rsidRDefault="00C43F16" w:rsidP="00034655"/>
        </w:tc>
      </w:tr>
    </w:tbl>
    <w:p w14:paraId="6E3A77B1" w14:textId="77777777" w:rsidR="005F7EEE" w:rsidRDefault="005F7EEE" w:rsidP="00F57260"/>
    <w:sectPr w:rsidR="005F7EEE" w:rsidSect="00FE5508">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6212" w14:textId="77777777" w:rsidR="006E34E8" w:rsidRDefault="006E34E8" w:rsidP="006E34E8">
      <w:r>
        <w:separator/>
      </w:r>
    </w:p>
  </w:endnote>
  <w:endnote w:type="continuationSeparator" w:id="0">
    <w:p w14:paraId="51BA3DCA" w14:textId="77777777" w:rsidR="006E34E8" w:rsidRDefault="006E34E8" w:rsidP="006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9D3B" w14:textId="4842666C" w:rsidR="008E1786" w:rsidRDefault="008E1786">
    <w:pPr>
      <w:pStyle w:val="Footer"/>
    </w:pPr>
    <w:r>
      <w:rPr>
        <w:noProof/>
      </w:rPr>
      <mc:AlternateContent>
        <mc:Choice Requires="wps">
          <w:drawing>
            <wp:anchor distT="0" distB="0" distL="0" distR="0" simplePos="0" relativeHeight="251659264" behindDoc="0" locked="0" layoutInCell="1" allowOverlap="1" wp14:anchorId="366013C7" wp14:editId="6B687E5B">
              <wp:simplePos x="635" y="635"/>
              <wp:positionH relativeFrom="leftMargin">
                <wp:align>left</wp:align>
              </wp:positionH>
              <wp:positionV relativeFrom="paragraph">
                <wp:posOffset>635</wp:posOffset>
              </wp:positionV>
              <wp:extent cx="443865" cy="443865"/>
              <wp:effectExtent l="0" t="0" r="7620" b="4445"/>
              <wp:wrapSquare wrapText="bothSides"/>
              <wp:docPr id="2" name="Text Box 2" descr="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FBE0D" w14:textId="3E4AC5F9" w:rsidR="008E1786" w:rsidRPr="008E1786" w:rsidRDefault="008E1786">
                          <w:pPr>
                            <w:rPr>
                              <w:rFonts w:ascii="Calibri" w:eastAsia="Calibri" w:hAnsi="Calibri" w:cs="Calibri"/>
                              <w:color w:val="000000"/>
                              <w:sz w:val="24"/>
                              <w:szCs w:val="24"/>
                            </w:rPr>
                          </w:pPr>
                          <w:r w:rsidRPr="008E1786">
                            <w:rPr>
                              <w:rFonts w:ascii="Calibri" w:eastAsia="Calibri" w:hAnsi="Calibri" w:cs="Calibri"/>
                              <w:color w:val="000000"/>
                              <w:sz w:val="24"/>
                              <w:szCs w:val="24"/>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66013C7" id="_x0000_t202" coordsize="21600,21600" o:spt="202" path="m,l,21600r21600,l21600,xe">
              <v:stroke joinstyle="miter"/>
              <v:path gradientshapeok="t" o:connecttype="rect"/>
            </v:shapetype>
            <v:shape id="Text Box 2" o:spid="_x0000_s1028" type="#_x0000_t202" alt="Please treat this information as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ttOgIAAHIEAAAOAAAAZHJzL2Uyb0RvYy54bWysVE1v2zAMvQ/YfxB0X5ymHyiCOEXWosOA&#10;oC2QDj0rslwLkCVBYmNnv35Pst123U7DLgpF0o/ie2RWV31r2EGFqJ0t+clszpmy0lXaPpf8x+Pt&#10;l0vOIglbCeOsKvlRRX61/vxp1fmlWrjGmUoFBhAbl50veUPkl0URZaNaEWfOK4tg7UIrCNfwXFRB&#10;dEBvTbGYzy+KzoXKBydVjPDeDEG+zvh1rSTd13VUxEzJ8TbKZ8jnPp3FeiWWz0H4RsvxGeIfXtEK&#10;bVH0FepGkGAvQf8B1WoZXHQ1zaRrC1fXWqrcA7o5mX/oZtcIr3IvICf6V5ri/4OVd4eHwHRV8gVn&#10;VrSQ6FH1xL66nsFTqSjB1oNRIipGQQli1OjItB00gexMRAaStdTCJD47H5eA3XkAUw8gzMXkj3Am&#10;mvo6tOkXBDDEoczxVY1UXsJ5dnZ6eXHOmURotIFevH3sQ6RvyrUsGSUPEDtrIA7bSEPqlJJqWXer&#10;jcmCG/ubA5jJU6SXDy9MFvX7fmRm7GrvqiOaCm4Yo+jlrUbprYj0IALmBn1gF+geR21cV3I3Wpw1&#10;Lvz8mz/lQ05EOeswhyW3WBTOzHcLmS9Oz+dpbPMFRpiM/WTYl/baYbhPsGdeZjPlkZnMOrj2CUuy&#10;SXUQElaiWslpMq9p2AcIKtVmk5MwnF7Q1u68TNCJrUTlY/8kgh/5Jgh156YZFcsPtA+56cvoNy8E&#10;8rMmidmBx5FwDHZWdVzCtDnv7znr7a9i/QsAAP//AwBQSwMEFAAGAAgAAAAhADSBOhbaAAAAAwEA&#10;AA8AAABkcnMvZG93bnJldi54bWxMj81OwzAQhO9IvIO1SFwQdUAotGmcqkLiws+Bkktv23iJI+J1&#10;ajtpeHvcExx3ZjTzbbmZbS8m8qFzrOBukYEgbpzuuFVQfz7fLkGEiKyxd0wKfijAprq8KLHQ7sQf&#10;NO1iK1IJhwIVmBiHQsrQGLIYFm4gTt6X8xZjOn0rtcdTKre9vM+yXFrsOC0YHOjJUPO9G60C2j/k&#10;09a/3ejj67tdHk39MmKt1PXVvF2DiDTHvzCc8RM6VInp4EbWQfQK0iPxrIrk5asViIOCxywDWZXy&#10;P3v1CwAA//8DAFBLAQItABQABgAIAAAAIQC2gziS/gAAAOEBAAATAAAAAAAAAAAAAAAAAAAAAABb&#10;Q29udGVudF9UeXBlc10ueG1sUEsBAi0AFAAGAAgAAAAhADj9If/WAAAAlAEAAAsAAAAAAAAAAAAA&#10;AAAALwEAAF9yZWxzLy5yZWxzUEsBAi0AFAAGAAgAAAAhAAU2+206AgAAcgQAAA4AAAAAAAAAAAAA&#10;AAAALgIAAGRycy9lMm9Eb2MueG1sUEsBAi0AFAAGAAgAAAAhADSBOhbaAAAAAwEAAA8AAAAAAAAA&#10;AAAAAAAAlAQAAGRycy9kb3ducmV2LnhtbFBLBQYAAAAABAAEAPMAAACbBQAAAAA=&#10;" filled="f" stroked="f">
              <v:textbox style="mso-fit-shape-to-text:t" inset="5pt,0,0,0">
                <w:txbxContent>
                  <w:p w14:paraId="4F9FBE0D" w14:textId="3E4AC5F9" w:rsidR="008E1786" w:rsidRPr="008E1786" w:rsidRDefault="008E1786">
                    <w:pPr>
                      <w:rPr>
                        <w:rFonts w:ascii="Calibri" w:eastAsia="Calibri" w:hAnsi="Calibri" w:cs="Calibri"/>
                        <w:color w:val="000000"/>
                        <w:sz w:val="24"/>
                        <w:szCs w:val="24"/>
                      </w:rPr>
                    </w:pPr>
                    <w:r w:rsidRPr="008E1786">
                      <w:rPr>
                        <w:rFonts w:ascii="Calibri" w:eastAsia="Calibri" w:hAnsi="Calibri" w:cs="Calibri"/>
                        <w:color w:val="000000"/>
                        <w:sz w:val="24"/>
                        <w:szCs w:val="24"/>
                      </w:rPr>
                      <w:t>Please treat this information as 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D11D" w14:textId="3F78D936" w:rsidR="006E34E8" w:rsidRDefault="008E1786">
    <w:pPr>
      <w:pStyle w:val="Footer"/>
    </w:pPr>
    <w:r>
      <w:rPr>
        <w:noProof/>
      </w:rPr>
      <mc:AlternateContent>
        <mc:Choice Requires="wps">
          <w:drawing>
            <wp:anchor distT="0" distB="0" distL="0" distR="0" simplePos="0" relativeHeight="251660288" behindDoc="0" locked="0" layoutInCell="1" allowOverlap="1" wp14:anchorId="059E7520" wp14:editId="54521C07">
              <wp:simplePos x="457200" y="6772275"/>
              <wp:positionH relativeFrom="leftMargin">
                <wp:align>left</wp:align>
              </wp:positionH>
              <wp:positionV relativeFrom="paragraph">
                <wp:posOffset>635</wp:posOffset>
              </wp:positionV>
              <wp:extent cx="443865" cy="443865"/>
              <wp:effectExtent l="0" t="0" r="7620" b="4445"/>
              <wp:wrapSquare wrapText="bothSides"/>
              <wp:docPr id="3" name="Text Box 3" descr="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0AB070" w14:textId="041F7D7A" w:rsidR="008E1786" w:rsidRPr="008E1786" w:rsidRDefault="008E1786">
                          <w:pPr>
                            <w:rPr>
                              <w:rFonts w:ascii="Calibri" w:eastAsia="Calibri" w:hAnsi="Calibri" w:cs="Calibri"/>
                              <w:color w:val="000000"/>
                              <w:sz w:val="24"/>
                              <w:szCs w:val="24"/>
                            </w:rPr>
                          </w:pPr>
                          <w:r w:rsidRPr="008E1786">
                            <w:rPr>
                              <w:rFonts w:ascii="Calibri" w:eastAsia="Calibri" w:hAnsi="Calibri" w:cs="Calibri"/>
                              <w:color w:val="000000"/>
                              <w:sz w:val="24"/>
                              <w:szCs w:val="24"/>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9E7520" id="_x0000_t202" coordsize="21600,21600" o:spt="202" path="m,l,21600r21600,l21600,xe">
              <v:stroke joinstyle="miter"/>
              <v:path gradientshapeok="t" o:connecttype="rect"/>
            </v:shapetype>
            <v:shape id="Text Box 3" o:spid="_x0000_s1029" type="#_x0000_t202" alt="Please treat this information as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hrOgIAAHIEAAAOAAAAZHJzL2Uyb0RvYy54bWysVE1v2zAMvQ/YfxB0X5x+ogjiFFmLDgOC&#10;tkA69KzIcixAlgSJjZ39+j3Jdtt1Ow27KBRJP4rvkVle961hBxWidrbkJ7M5Z8pKV2m7L/mPp7sv&#10;V5xFErYSxllV8qOK/Hr1+dOy8wt16hpnKhUYQGxcdL7kDZFfFEWUjWpFnDmvLIK1C60gXMO+qILo&#10;gN6a4nQ+vyw6FyofnFQxwns7BPkq49e1kvRQ11ERMyXH2yifIZ+7dBarpVjsg/CNluMzxD+8ohXa&#10;ougr1K0gwV6C/gOq1TK46GqaSdcWrq61VLkHdHMy/9DNthFe5V5ATvSvNMX/ByvvD4+B6arkZ5xZ&#10;0UKiJ9UT++p6Bk+logRbj0aJqBgFJYhRoyPTdtAEsjMRGUjWUguT+Ox8XAB26wFMPYAwF5M/wplo&#10;6uvQpl8QwBCHMsdXNVJ5Cef5+dnV5QVnEqHRBnrx9rEPkb4p17JklDxA7KyBOGwiDalTSqpl3Z02&#10;Jgtu7G8OYCZPkV4+vDBZ1O/6kZmxq52rjmgquGGMopd3GqU3ItKjCJgb9IFdoAcctXFdyd1ocda4&#10;8PNv/pQPORHlrMMcltxiUTgz3y1kvjy7mKexzRcYYTJ2k2Ff2huH4T7BnnmZzZRHZjLr4NpnLMk6&#10;1UFIWIlqJafJvKFhHyCoVOt1TsJwekEbu/UyQSe2EpVP/bMIfuSbINS9m2ZULD7QPuSmL6NfvxDI&#10;z5okZgceR8Ix2FnVcQnT5ry/56y3v4rVLwAAAP//AwBQSwMEFAAGAAgAAAAhADSBOhbaAAAAAwEA&#10;AA8AAABkcnMvZG93bnJldi54bWxMj81OwzAQhO9IvIO1SFwQdUAotGmcqkLiws+Bkktv23iJI+J1&#10;ajtpeHvcExx3ZjTzbbmZbS8m8qFzrOBukYEgbpzuuFVQfz7fLkGEiKyxd0wKfijAprq8KLHQ7sQf&#10;NO1iK1IJhwIVmBiHQsrQGLIYFm4gTt6X8xZjOn0rtcdTKre9vM+yXFrsOC0YHOjJUPO9G60C2j/k&#10;09a/3ejj67tdHk39MmKt1PXVvF2DiDTHvzCc8RM6VInp4EbWQfQK0iPxrIrk5asViIOCxywDWZXy&#10;P3v1CwAA//8DAFBLAQItABQABgAIAAAAIQC2gziS/gAAAOEBAAATAAAAAAAAAAAAAAAAAAAAAABb&#10;Q29udGVudF9UeXBlc10ueG1sUEsBAi0AFAAGAAgAAAAhADj9If/WAAAAlAEAAAsAAAAAAAAAAAAA&#10;AAAALwEAAF9yZWxzLy5yZWxzUEsBAi0AFAAGAAgAAAAhAIPvuGs6AgAAcgQAAA4AAAAAAAAAAAAA&#10;AAAALgIAAGRycy9lMm9Eb2MueG1sUEsBAi0AFAAGAAgAAAAhADSBOhbaAAAAAwEAAA8AAAAAAAAA&#10;AAAAAAAAlAQAAGRycy9kb3ducmV2LnhtbFBLBQYAAAAABAAEAPMAAACbBQAAAAA=&#10;" filled="f" stroked="f">
              <v:textbox style="mso-fit-shape-to-text:t" inset="5pt,0,0,0">
                <w:txbxContent>
                  <w:p w14:paraId="1B0AB070" w14:textId="041F7D7A" w:rsidR="008E1786" w:rsidRPr="008E1786" w:rsidRDefault="008E1786">
                    <w:pPr>
                      <w:rPr>
                        <w:rFonts w:ascii="Calibri" w:eastAsia="Calibri" w:hAnsi="Calibri" w:cs="Calibri"/>
                        <w:color w:val="000000"/>
                        <w:sz w:val="24"/>
                        <w:szCs w:val="24"/>
                      </w:rPr>
                    </w:pPr>
                    <w:r w:rsidRPr="008E1786">
                      <w:rPr>
                        <w:rFonts w:ascii="Calibri" w:eastAsia="Calibri" w:hAnsi="Calibri" w:cs="Calibri"/>
                        <w:color w:val="000000"/>
                        <w:sz w:val="24"/>
                        <w:szCs w:val="24"/>
                      </w:rPr>
                      <w:t>Please treat this information as Official</w:t>
                    </w:r>
                  </w:p>
                </w:txbxContent>
              </v:textbox>
              <w10:wrap type="square" anchorx="margin"/>
            </v:shape>
          </w:pict>
        </mc:Fallback>
      </mc:AlternateContent>
    </w:r>
    <w:r w:rsidR="006E34E8">
      <w:t xml:space="preserve">LMT </w:t>
    </w:r>
    <w:r w:rsidR="00FE0ABD">
      <w:t>–</w:t>
    </w:r>
    <w:r w:rsidR="00D16F42">
      <w:t xml:space="preserve"> </w:t>
    </w:r>
    <w:r w:rsidR="00FE0ABD">
      <w:t>11 October 2021</w:t>
    </w:r>
  </w:p>
  <w:p w14:paraId="778AF869" w14:textId="77777777" w:rsidR="006E34E8" w:rsidRDefault="006E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1CD0" w14:textId="789C0830" w:rsidR="008E1786" w:rsidRDefault="008E1786">
    <w:pPr>
      <w:pStyle w:val="Footer"/>
    </w:pPr>
    <w:r>
      <w:rPr>
        <w:noProof/>
      </w:rPr>
      <mc:AlternateContent>
        <mc:Choice Requires="wps">
          <w:drawing>
            <wp:anchor distT="0" distB="0" distL="0" distR="0" simplePos="0" relativeHeight="251658240" behindDoc="0" locked="0" layoutInCell="1" allowOverlap="1" wp14:anchorId="14F314D9" wp14:editId="02150730">
              <wp:simplePos x="635" y="635"/>
              <wp:positionH relativeFrom="leftMargin">
                <wp:align>left</wp:align>
              </wp:positionH>
              <wp:positionV relativeFrom="paragraph">
                <wp:posOffset>635</wp:posOffset>
              </wp:positionV>
              <wp:extent cx="443865" cy="443865"/>
              <wp:effectExtent l="0" t="0" r="7620" b="4445"/>
              <wp:wrapSquare wrapText="bothSides"/>
              <wp:docPr id="1" name="Text Box 1" descr="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338B8" w14:textId="4BB3B22D" w:rsidR="008E1786" w:rsidRPr="008E1786" w:rsidRDefault="008E1786">
                          <w:pPr>
                            <w:rPr>
                              <w:rFonts w:ascii="Calibri" w:eastAsia="Calibri" w:hAnsi="Calibri" w:cs="Calibri"/>
                              <w:color w:val="000000"/>
                              <w:sz w:val="24"/>
                              <w:szCs w:val="24"/>
                            </w:rPr>
                          </w:pPr>
                          <w:r w:rsidRPr="008E1786">
                            <w:rPr>
                              <w:rFonts w:ascii="Calibri" w:eastAsia="Calibri" w:hAnsi="Calibri" w:cs="Calibri"/>
                              <w:color w:val="000000"/>
                              <w:sz w:val="24"/>
                              <w:szCs w:val="24"/>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F314D9" id="_x0000_t202" coordsize="21600,21600" o:spt="202" path="m,l,21600r21600,l21600,xe">
              <v:stroke joinstyle="miter"/>
              <v:path gradientshapeok="t" o:connecttype="rect"/>
            </v:shapetype>
            <v:shape id="Text Box 1" o:spid="_x0000_s1031" type="#_x0000_t202" alt="Please treat this information as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UOgIAAHIEAAAOAAAAZHJzL2Uyb0RvYy54bWysVE1v2zAMvQ/YfxB0X5x+pCiMOkXWosOA&#10;oi2QDj0rslwLkCVBYmNnv35Pst123U7DLgpF0Y/ke2QuLofOsL0KUTtb8aPFkjNlpau1fa74j8eb&#10;L+ecRRK2FsZZVfGDivxy/fnTRe9LdexaZ2oVGEBsLHtf8ZbIl0URZas6ERfOK4vHxoVOEK7huaiD&#10;6IHemeJ4uTwrehdqH5xUMcJ7PT7ydcZvGiXpvmmiImYqjtoonyGfu3QW6wtRPgfhWy2nMsQ/VNEJ&#10;bZH0FepakGAvQf8B1WkZXHQNLaTrCtc0WqrcA7o5Wn7oZtsKr3IvICf6V5ri/4OVd/uHwHQN7Tiz&#10;ooNEj2og9tUNDJ5aRQm2HowSUTEKShCjVkem7agJZGciMpCspRYm8dn7WAJ26wFMA4AS9uSPcCaa&#10;hiZ06RcEMLxDmcOrGim9hPP09OT8bMWZxNNkA6V4+9iHSN+U61gyKh4gdtZA7G8jjaFzSMpl3Y02&#10;Bn5RGvubA5jJU6TKxwqTRcNuyMys5up3rj6gqeDGMYpe3mikvhWRHkTA3KAP7ALd42iM6yvuJouz&#10;1oWff/OneMiJV856zGHFLRaFM/PdQuazk9UyjW2+wAizsZsN+9JdOQw3xEI92UxxZGazCa57wpJs&#10;Uh48CSuRreI0m1c07gMElWqzyUEYTi/o1m69TNCJrUTl4/Akgp/4Jgh15+YZFeUH2sfY9GX0mxcC&#10;+VmTxOzI40Q4BjurOi1h2pz39xz19lex/gUAAP//AwBQSwMEFAAGAAgAAAAhADSBOhbaAAAAAwEA&#10;AA8AAABkcnMvZG93bnJldi54bWxMj81OwzAQhO9IvIO1SFwQdUAotGmcqkLiws+Bkktv23iJI+J1&#10;ajtpeHvcExx3ZjTzbbmZbS8m8qFzrOBukYEgbpzuuFVQfz7fLkGEiKyxd0wKfijAprq8KLHQ7sQf&#10;NO1iK1IJhwIVmBiHQsrQGLIYFm4gTt6X8xZjOn0rtcdTKre9vM+yXFrsOC0YHOjJUPO9G60C2j/k&#10;09a/3ejj67tdHk39MmKt1PXVvF2DiDTHvzCc8RM6VInp4EbWQfQK0iPxrIrk5asViIOCxywDWZXy&#10;P3v1CwAA//8DAFBLAQItABQABgAIAAAAIQC2gziS/gAAAOEBAAATAAAAAAAAAAAAAAAAAAAAAABb&#10;Q29udGVudF9UeXBlc10ueG1sUEsBAi0AFAAGAAgAAAAhADj9If/WAAAAlAEAAAsAAAAAAAAAAAAA&#10;AAAALwEAAF9yZWxzLy5yZWxzUEsBAi0AFAAGAAgAAAAhAFqz5BQ6AgAAcgQAAA4AAAAAAAAAAAAA&#10;AAAALgIAAGRycy9lMm9Eb2MueG1sUEsBAi0AFAAGAAgAAAAhADSBOhbaAAAAAwEAAA8AAAAAAAAA&#10;AAAAAAAAlAQAAGRycy9kb3ducmV2LnhtbFBLBQYAAAAABAAEAPMAAACbBQAAAAA=&#10;" filled="f" stroked="f">
              <v:textbox style="mso-fit-shape-to-text:t" inset="5pt,0,0,0">
                <w:txbxContent>
                  <w:p w14:paraId="185338B8" w14:textId="4BB3B22D" w:rsidR="008E1786" w:rsidRPr="008E1786" w:rsidRDefault="008E1786">
                    <w:pPr>
                      <w:rPr>
                        <w:rFonts w:ascii="Calibri" w:eastAsia="Calibri" w:hAnsi="Calibri" w:cs="Calibri"/>
                        <w:color w:val="000000"/>
                        <w:sz w:val="24"/>
                        <w:szCs w:val="24"/>
                      </w:rPr>
                    </w:pPr>
                    <w:r w:rsidRPr="008E1786">
                      <w:rPr>
                        <w:rFonts w:ascii="Calibri" w:eastAsia="Calibri" w:hAnsi="Calibri" w:cs="Calibri"/>
                        <w:color w:val="000000"/>
                        <w:sz w:val="24"/>
                        <w:szCs w:val="24"/>
                      </w:rPr>
                      <w:t>Please treat this information as 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A0FC" w14:textId="77777777" w:rsidR="006E34E8" w:rsidRDefault="006E34E8" w:rsidP="006E34E8">
      <w:r>
        <w:separator/>
      </w:r>
    </w:p>
  </w:footnote>
  <w:footnote w:type="continuationSeparator" w:id="0">
    <w:p w14:paraId="2B29137C" w14:textId="77777777" w:rsidR="006E34E8" w:rsidRDefault="006E34E8" w:rsidP="006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3CBD" w14:textId="7B52D94F" w:rsidR="008E1786" w:rsidRDefault="008E1786">
    <w:pPr>
      <w:pStyle w:val="Header"/>
    </w:pPr>
    <w:r>
      <w:rPr>
        <w:noProof/>
      </w:rPr>
      <mc:AlternateContent>
        <mc:Choice Requires="wps">
          <w:drawing>
            <wp:anchor distT="0" distB="0" distL="114300" distR="114300" simplePos="0" relativeHeight="251662336" behindDoc="1" locked="0" layoutInCell="1" allowOverlap="1" wp14:anchorId="3467A95B" wp14:editId="2BDE6CF5">
              <wp:simplePos x="635" y="635"/>
              <wp:positionH relativeFrom="margin">
                <wp:align>center</wp:align>
              </wp:positionH>
              <wp:positionV relativeFrom="margin">
                <wp:align>center</wp:align>
              </wp:positionV>
              <wp:extent cx="443865" cy="443865"/>
              <wp:effectExtent l="19050" t="266700" r="22225" b="256540"/>
              <wp:wrapNone/>
              <wp:docPr id="5" name="Text Box 5"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C08D21B" w14:textId="59714CF1" w:rsidR="008E1786" w:rsidRPr="008E1786" w:rsidRDefault="008E1786">
                          <w:pPr>
                            <w:rPr>
                              <w:rFonts w:ascii="Calibri" w:eastAsia="Calibri" w:hAnsi="Calibri" w:cs="Calibri"/>
                              <w:color w:val="000000"/>
                              <w:sz w:val="48"/>
                              <w:szCs w:val="48"/>
                              <w14:textFill>
                                <w14:solidFill>
                                  <w14:srgbClr w14:val="000000">
                                    <w14:alpha w14:val="50000"/>
                                  </w14:srgbClr>
                                </w14:solidFill>
                              </w14:textFill>
                            </w:rPr>
                          </w:pPr>
                          <w:r w:rsidRPr="008E1786">
                            <w:rPr>
                              <w:rFonts w:ascii="Calibri" w:eastAsia="Calibri" w:hAnsi="Calibri" w:cs="Calibri"/>
                              <w:color w:val="000000"/>
                              <w:sz w:val="48"/>
                              <w:szCs w:val="48"/>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67A95B" id="_x0000_t202" coordsize="21600,21600" o:spt="202" path="m,l,21600r21600,l21600,xe">
              <v:stroke joinstyle="miter"/>
              <v:path gradientshapeok="t" o:connecttype="rect"/>
            </v:shapetype>
            <v:shape id="Text Box 5" o:spid="_x0000_s1026" type="#_x0000_t202" alt="Official" style="position:absolute;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DcJwIAAFUEAAAOAAAAZHJzL2Uyb0RvYy54bWysVE1v2zAMvQ/YfxB0X5x0XdEacYqsRYYB&#10;QVsgGXpWZDkRoC9ISuzs1+9JtrOt22lYDgJNUY/ke2Tm951W5CR8kNZUdDaZUiIMt7U0+4p+264+&#10;3FISIjM1U9aIip5FoPeL9+/mrSvFlT1YVQtPAGJC2bqKHmJ0ZVEEfhCahYl1wuCysV6ziE+/L2rP&#10;WqBrVVxNpzdFa33tvOUiBHgf+0u6yPhNI3h8bpogIlEVRW0xnz6fu3QWizkr9565g+RDGewfqtBM&#10;GiS9QD2yyMjRyz+gtOTeBtvECbe6sE0jucg9oJvZ9E03mwNzIvcCcoK70BT+Hyx/Or14IuuKfqLE&#10;MA2JtqKL5LPtCDy1CBxsgUPJJVOJrtaFEq82Du9ihzjIPvoDnImFrvGaeAu2Z7d30/TL5KBdgnDo&#10;cL5wn5JxOK+vP97eICPH1WAjWdFjJUznQ/wirCbJqKiHtBmUndYh9qFjSAo3diWVyvIq85sDmMlT&#10;pEb6gpMVu103dLez9RnN5fpRa3B8JZFzzUJ8YR7jASdGPj7jaJRtK2oHi5KD9d//5k/xUA23lLQY&#10;t4oa7AMl6quBmmkyR8OPxm40zFE/WMzvLNeSTTzwUY1m461+xR4sUw5cMcORqaJxNB9iP/LYIy6W&#10;yxyE+XMsrs3G8QQ9UrztXpl3A8kR6jzZcQxZ+YbrPja9DG55jGA8C5Ho7DkcWMbsZimHPUvL8et3&#10;jvr5b7D4AQAA//8DAFBLAwQUAAYACAAAACEAcYt5z9cAAAADAQAADwAAAGRycy9kb3ducmV2Lnht&#10;bEyPQU/DMAyF70j8h8hI3FgKkypWmk6AVJB22+AHZI3bVDRO1Xhb4ddj4MAufrKe9d7ncj2HQR1x&#10;Sn0kA7eLDBRSE11PnYH3t/rmHlRiS84OkdDAJyZYV5cXpS1cPNEWjzvulIRQKqwBzzwWWqfGY7Bp&#10;EUck8do4BcuyTp12kz1JeBj0XZblOtiepMHbEZ89Nh+7QzBQdz5vW3rpN/rpq06My9ftZmnM9dX8&#10;+ACKceb/Y/jBF3SohGkfD+SSGgzII/w7xctXK1D7P9VVqc/Zq28AAAD//wMAUEsBAi0AFAAGAAgA&#10;AAAhALaDOJL+AAAA4QEAABMAAAAAAAAAAAAAAAAAAAAAAFtDb250ZW50X1R5cGVzXS54bWxQSwEC&#10;LQAUAAYACAAAACEAOP0h/9YAAACUAQAACwAAAAAAAAAAAAAAAAAvAQAAX3JlbHMvLnJlbHNQSwEC&#10;LQAUAAYACAAAACEAPH7w3CcCAABVBAAADgAAAAAAAAAAAAAAAAAuAgAAZHJzL2Uyb0RvYy54bWxQ&#10;SwECLQAUAAYACAAAACEAcYt5z9cAAAADAQAADwAAAAAAAAAAAAAAAACBBAAAZHJzL2Rvd25yZXYu&#10;eG1sUEsFBgAAAAAEAAQA8wAAAIUFAAAAAA==&#10;" filled="f" stroked="f">
              <v:textbox style="mso-fit-shape-to-text:t" inset="0,0,0,0">
                <w:txbxContent>
                  <w:p w14:paraId="5C08D21B" w14:textId="59714CF1" w:rsidR="008E1786" w:rsidRPr="008E1786" w:rsidRDefault="008E1786">
                    <w:pPr>
                      <w:rPr>
                        <w:rFonts w:ascii="Calibri" w:eastAsia="Calibri" w:hAnsi="Calibri" w:cs="Calibri"/>
                        <w:color w:val="000000"/>
                        <w:sz w:val="48"/>
                        <w:szCs w:val="48"/>
                        <w14:textFill>
                          <w14:solidFill>
                            <w14:srgbClr w14:val="000000">
                              <w14:alpha w14:val="50000"/>
                            </w14:srgbClr>
                          </w14:solidFill>
                        </w14:textFill>
                      </w:rPr>
                    </w:pPr>
                    <w:r w:rsidRPr="008E1786">
                      <w:rPr>
                        <w:rFonts w:ascii="Calibri" w:eastAsia="Calibri" w:hAnsi="Calibri" w:cs="Calibri"/>
                        <w:color w:val="000000"/>
                        <w:sz w:val="48"/>
                        <w:szCs w:val="48"/>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CF77" w14:textId="1204769E" w:rsidR="008E1786" w:rsidRDefault="008E1786">
    <w:pPr>
      <w:pStyle w:val="Header"/>
    </w:pPr>
    <w:r>
      <w:rPr>
        <w:noProof/>
      </w:rPr>
      <mc:AlternateContent>
        <mc:Choice Requires="wps">
          <w:drawing>
            <wp:anchor distT="0" distB="0" distL="114300" distR="114300" simplePos="0" relativeHeight="251663360" behindDoc="1" locked="0" layoutInCell="1" allowOverlap="1" wp14:anchorId="50475953" wp14:editId="020A9977">
              <wp:simplePos x="457200" y="447675"/>
              <wp:positionH relativeFrom="margin">
                <wp:align>center</wp:align>
              </wp:positionH>
              <wp:positionV relativeFrom="margin">
                <wp:align>center</wp:align>
              </wp:positionV>
              <wp:extent cx="443865" cy="443865"/>
              <wp:effectExtent l="19050" t="266700" r="22225" b="256540"/>
              <wp:wrapNone/>
              <wp:docPr id="6" name="Text Box 6"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F8B0D8D" w14:textId="4493BCD4" w:rsidR="008E1786" w:rsidRPr="008E1786" w:rsidRDefault="008E1786">
                          <w:pPr>
                            <w:rPr>
                              <w:rFonts w:ascii="Calibri" w:eastAsia="Calibri" w:hAnsi="Calibri" w:cs="Calibri"/>
                              <w:color w:val="000000"/>
                              <w:sz w:val="48"/>
                              <w:szCs w:val="48"/>
                              <w14:textFill>
                                <w14:solidFill>
                                  <w14:srgbClr w14:val="000000">
                                    <w14:alpha w14:val="50000"/>
                                  </w14:srgbClr>
                                </w14:solidFill>
                              </w14:textFill>
                            </w:rPr>
                          </w:pPr>
                          <w:r w:rsidRPr="008E1786">
                            <w:rPr>
                              <w:rFonts w:ascii="Calibri" w:eastAsia="Calibri" w:hAnsi="Calibri" w:cs="Calibri"/>
                              <w:color w:val="000000"/>
                              <w:sz w:val="48"/>
                              <w:szCs w:val="48"/>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475953" id="_x0000_t202" coordsize="21600,21600" o:spt="202" path="m,l,21600r21600,l21600,xe">
              <v:stroke joinstyle="miter"/>
              <v:path gradientshapeok="t" o:connecttype="rect"/>
            </v:shapetype>
            <v:shape id="Text Box 6" o:spid="_x0000_s1027" type="#_x0000_t202" alt="Official" style="position:absolute;margin-left:0;margin-top:0;width:34.95pt;height:34.95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T5KgIAAFwEAAAOAAAAZHJzL2Uyb0RvYy54bWysVMGO2jAQvVfqP1i+l8B2i9iIsKK7oqqE&#10;dleCas/GcYglx7ZsQ0K/vs9OQtttT1U5WC/j8ZuZNzMs77tGkbNwXhpd0NlkSonQ3JRSHwv6bb/5&#10;sKDEB6ZLpowWBb0IT+9X798tW5uLG1MbVQpHQKJ93tqC1iHYPMs8r0XD/MRYoXFZGdewgE93zErH&#10;WrA3KruZTudZa1xpneHCe1gf+0u6SvxVJXh4riovAlEFRW4hnS6dh3hmqyXLj47ZWvIhDfYPWTRM&#10;agS9Uj2ywMjJyT+oGsmd8aYKE26azFSV5CLVgGpm0zfV7GpmRaoF4nh7lcn/P1r+dH5xRJYFnVOi&#10;WYMW7UUXyGfTEVhK4TnUgoaSS6aiXK31OV7tLN6FDn5o+2j3MEYVuso1xBmoPVvcTeMviYNyCdzR&#10;h8tV+xiMw3h7+3Ex/0QJx9WAESzruSKndT58EaYhERTUobWJlJ23PvSuo0t012YjlUrtVfo3Azij&#10;JYuF9AlHFLpDl3S4FnMw5QU1pjKQsrd8IxF6y3x4YQ5TAiMmPzzjqJRpC2oGRElt3Pe/2aM/modb&#10;SlpMXUE11oIS9VWjqXFAR+BGcBiBPjUPBmM8S7kkiAcuqBFWzjSvWId1jIErpjkiFTSM8CH0k491&#10;4mK9Tk4YQ8vCVu8sj9Sj0vvulTk7aB3QpCczTiPL30je+8aX3q5PAcKnfkRVew0HsTHCqaPDusUd&#10;+fU7ef38U1j9AAAA//8DAFBLAwQUAAYACAAAACEAcYt5z9cAAAADAQAADwAAAGRycy9kb3ducmV2&#10;LnhtbEyPQU/DMAyF70j8h8hI3FgKkypWmk6AVJB22+AHZI3bVDRO1Xhb4ddj4MAufrKe9d7ncj2H&#10;QR1xSn0kA7eLDBRSE11PnYH3t/rmHlRiS84OkdDAJyZYV5cXpS1cPNEWjzvulIRQKqwBzzwWWqfG&#10;Y7BpEUck8do4BcuyTp12kz1JeBj0XZblOtiepMHbEZ89Nh+7QzBQdz5vW3rpN/rpq06My9ftZmnM&#10;9dX8+ACKceb/Y/jBF3SohGkfD+SSGgzII/w7xctXK1D7P9VVqc/Zq28AAAD//wMAUEsBAi0AFAAG&#10;AAgAAAAhALaDOJL+AAAA4QEAABMAAAAAAAAAAAAAAAAAAAAAAFtDb250ZW50X1R5cGVzXS54bWxQ&#10;SwECLQAUAAYACAAAACEAOP0h/9YAAACUAQAACwAAAAAAAAAAAAAAAAAvAQAAX3JlbHMvLnJlbHNQ&#10;SwECLQAUAAYACAAAACEA8PfE+SoCAABcBAAADgAAAAAAAAAAAAAAAAAuAgAAZHJzL2Uyb0RvYy54&#10;bWxQSwECLQAUAAYACAAAACEAcYt5z9cAAAADAQAADwAAAAAAAAAAAAAAAACEBAAAZHJzL2Rvd25y&#10;ZXYueG1sUEsFBgAAAAAEAAQA8wAAAIgFAAAAAA==&#10;" filled="f" stroked="f">
              <v:textbox style="mso-fit-shape-to-text:t" inset="0,0,0,0">
                <w:txbxContent>
                  <w:p w14:paraId="6F8B0D8D" w14:textId="4493BCD4" w:rsidR="008E1786" w:rsidRPr="008E1786" w:rsidRDefault="008E1786">
                    <w:pPr>
                      <w:rPr>
                        <w:rFonts w:ascii="Calibri" w:eastAsia="Calibri" w:hAnsi="Calibri" w:cs="Calibri"/>
                        <w:color w:val="000000"/>
                        <w:sz w:val="48"/>
                        <w:szCs w:val="48"/>
                        <w14:textFill>
                          <w14:solidFill>
                            <w14:srgbClr w14:val="000000">
                              <w14:alpha w14:val="50000"/>
                            </w14:srgbClr>
                          </w14:solidFill>
                        </w14:textFill>
                      </w:rPr>
                    </w:pPr>
                    <w:r w:rsidRPr="008E1786">
                      <w:rPr>
                        <w:rFonts w:ascii="Calibri" w:eastAsia="Calibri" w:hAnsi="Calibri" w:cs="Calibri"/>
                        <w:color w:val="000000"/>
                        <w:sz w:val="48"/>
                        <w:szCs w:val="48"/>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99A9" w14:textId="357E9623" w:rsidR="008E1786" w:rsidRDefault="008E1786">
    <w:pPr>
      <w:pStyle w:val="Header"/>
    </w:pPr>
    <w:r>
      <w:rPr>
        <w:noProof/>
      </w:rPr>
      <mc:AlternateContent>
        <mc:Choice Requires="wps">
          <w:drawing>
            <wp:anchor distT="0" distB="0" distL="114300" distR="114300" simplePos="0" relativeHeight="251661312" behindDoc="1" locked="0" layoutInCell="1" allowOverlap="1" wp14:anchorId="54529727" wp14:editId="6933B05C">
              <wp:simplePos x="635" y="635"/>
              <wp:positionH relativeFrom="margin">
                <wp:align>center</wp:align>
              </wp:positionH>
              <wp:positionV relativeFrom="margin">
                <wp:align>center</wp:align>
              </wp:positionV>
              <wp:extent cx="443865" cy="443865"/>
              <wp:effectExtent l="19050" t="266700" r="22225" b="256540"/>
              <wp:wrapNone/>
              <wp:docPr id="4" name="Text Box 4"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AD59E12" w14:textId="501DF573" w:rsidR="008E1786" w:rsidRPr="008E1786" w:rsidRDefault="008E1786">
                          <w:pPr>
                            <w:rPr>
                              <w:rFonts w:ascii="Calibri" w:eastAsia="Calibri" w:hAnsi="Calibri" w:cs="Calibri"/>
                              <w:color w:val="000000"/>
                              <w:sz w:val="48"/>
                              <w:szCs w:val="48"/>
                              <w14:textFill>
                                <w14:solidFill>
                                  <w14:srgbClr w14:val="000000">
                                    <w14:alpha w14:val="50000"/>
                                  </w14:srgbClr>
                                </w14:solidFill>
                              </w14:textFill>
                            </w:rPr>
                          </w:pPr>
                          <w:r w:rsidRPr="008E1786">
                            <w:rPr>
                              <w:rFonts w:ascii="Calibri" w:eastAsia="Calibri" w:hAnsi="Calibri" w:cs="Calibri"/>
                              <w:color w:val="000000"/>
                              <w:sz w:val="48"/>
                              <w:szCs w:val="48"/>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529727" id="_x0000_t202" coordsize="21600,21600" o:spt="202" path="m,l,21600r21600,l21600,xe">
              <v:stroke joinstyle="miter"/>
              <v:path gradientshapeok="t" o:connecttype="rect"/>
            </v:shapetype>
            <v:shape id="Text Box 4" o:spid="_x0000_s1030" type="#_x0000_t202" alt="Official" style="position:absolute;margin-left:0;margin-top:0;width:34.95pt;height:34.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KgIAAFwEAAAOAAAAZHJzL2Uyb0RvYy54bWysVMGO2jAQvVfqP1i+l8CWrtiIsKK7oqqE&#10;dleCas/GcYglx7ZsQ0K/vs9OQtttT1U5WC/j8ZuZNzMs77tGkbNwXhpd0NlkSonQ3JRSHwv6bb/5&#10;sKDEB6ZLpowWBb0IT+9X798tW5uLG1MbVQpHQKJ93tqC1iHYPMs8r0XD/MRYoXFZGdewgE93zErH&#10;WrA3KruZTm+z1rjSOsOF97A+9pd0lfirSvDwXFVeBKIKitxCOl06D/HMVkuWHx2zteRDGuwfsmiY&#10;1Ah6pXpkgZGTk39QNZI7400VJtw0makqyUWqAdXMpm+q2dXMilQLxPH2KpP/f7T86fziiCwLOqdE&#10;swYt2osukM+mI7CUwnOoBQ0ll0xFuVrrc7zaWbwLHfzQ9tHuYYwqdJVriDNQe7a4m8ZfEgflErij&#10;D5er9jEYh3E+/7i4/UQJx9WAESzruSKndT58EaYhERTUobWJlJ23PvSuo0t012YjlUrtVfo3Azij&#10;JYuF9AlHFLpDN+gwFHkw5QU1pjKQsrd8IxF6y3x4YQ5TAiMmPzzjqJRpC2oGRElt3Pe/2aM/modb&#10;SlpMXUE11oIS9VWjqXFAR+BGcBiBPjUPBmM8S7kkiAcuqBFWzjSvWId1jIErpjkiFTSM8CH0k491&#10;4mK9Tk4YQ8vCVu8sj9Sj0vvulTk7aB3QpCczTiPL30je+8aX3q5PAcKnfkRVew0HsTHCqaPDusUd&#10;+fU7ef38U1j9AAAA//8DAFBLAwQUAAYACAAAACEAcYt5z9cAAAADAQAADwAAAGRycy9kb3ducmV2&#10;LnhtbEyPQU/DMAyF70j8h8hI3FgKkypWmk6AVJB22+AHZI3bVDRO1Xhb4ddj4MAufrKe9d7ncj2H&#10;QR1xSn0kA7eLDBRSE11PnYH3t/rmHlRiS84OkdDAJyZYV5cXpS1cPNEWjzvulIRQKqwBzzwWWqfG&#10;Y7BpEUck8do4BcuyTp12kz1JeBj0XZblOtiepMHbEZ89Nh+7QzBQdz5vW3rpN/rpq06My9ftZmnM&#10;9dX8+ACKceb/Y/jBF3SohGkfD+SSGgzII/w7xctXK1D7P9VVqc/Zq28AAAD//wMAUEsBAi0AFAAG&#10;AAgAAAAhALaDOJL+AAAA4QEAABMAAAAAAAAAAAAAAAAAAAAAAFtDb250ZW50X1R5cGVzXS54bWxQ&#10;SwECLQAUAAYACAAAACEAOP0h/9YAAACUAQAACwAAAAAAAAAAAAAAAAAvAQAAX3JlbHMvLnJlbHNQ&#10;SwECLQAUAAYACAAAACEA/jQPpSoCAABcBAAADgAAAAAAAAAAAAAAAAAuAgAAZHJzL2Uyb0RvYy54&#10;bWxQSwECLQAUAAYACAAAACEAcYt5z9cAAAADAQAADwAAAAAAAAAAAAAAAACEBAAAZHJzL2Rvd25y&#10;ZXYueG1sUEsFBgAAAAAEAAQA8wAAAIgFAAAAAA==&#10;" filled="f" stroked="f">
              <v:textbox style="mso-fit-shape-to-text:t" inset="0,0,0,0">
                <w:txbxContent>
                  <w:p w14:paraId="5AD59E12" w14:textId="501DF573" w:rsidR="008E1786" w:rsidRPr="008E1786" w:rsidRDefault="008E1786">
                    <w:pPr>
                      <w:rPr>
                        <w:rFonts w:ascii="Calibri" w:eastAsia="Calibri" w:hAnsi="Calibri" w:cs="Calibri"/>
                        <w:color w:val="000000"/>
                        <w:sz w:val="48"/>
                        <w:szCs w:val="48"/>
                        <w14:textFill>
                          <w14:solidFill>
                            <w14:srgbClr w14:val="000000">
                              <w14:alpha w14:val="50000"/>
                            </w14:srgbClr>
                          </w14:solidFill>
                        </w14:textFill>
                      </w:rPr>
                    </w:pPr>
                    <w:r w:rsidRPr="008E1786">
                      <w:rPr>
                        <w:rFonts w:ascii="Calibri" w:eastAsia="Calibri" w:hAnsi="Calibri" w:cs="Calibri"/>
                        <w:color w:val="000000"/>
                        <w:sz w:val="48"/>
                        <w:szCs w:val="48"/>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9AD"/>
    <w:multiLevelType w:val="hybridMultilevel"/>
    <w:tmpl w:val="D9EC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2" w15:restartNumberingAfterBreak="0">
    <w:nsid w:val="522D4DCC"/>
    <w:multiLevelType w:val="hybridMultilevel"/>
    <w:tmpl w:val="A050A16C"/>
    <w:lvl w:ilvl="0" w:tplc="59601F12">
      <w:start w:val="1"/>
      <w:numFmt w:val="bullet"/>
      <w:lvlText w:val=""/>
      <w:lvlJc w:val="left"/>
      <w:pPr>
        <w:ind w:left="720" w:hanging="360"/>
      </w:pPr>
      <w:rPr>
        <w:rFonts w:ascii="Symbol" w:hAnsi="Symbol" w:hint="default"/>
      </w:rPr>
    </w:lvl>
    <w:lvl w:ilvl="1" w:tplc="3698E51A">
      <w:start w:val="1"/>
      <w:numFmt w:val="bullet"/>
      <w:lvlText w:val="o"/>
      <w:lvlJc w:val="left"/>
      <w:pPr>
        <w:ind w:left="1440" w:hanging="360"/>
      </w:pPr>
      <w:rPr>
        <w:rFonts w:ascii="Courier New" w:hAnsi="Courier New" w:cs="Times New Roman" w:hint="default"/>
      </w:rPr>
    </w:lvl>
    <w:lvl w:ilvl="2" w:tplc="BE486680">
      <w:start w:val="1"/>
      <w:numFmt w:val="bullet"/>
      <w:lvlText w:val=""/>
      <w:lvlJc w:val="left"/>
      <w:pPr>
        <w:ind w:left="2160" w:hanging="360"/>
      </w:pPr>
      <w:rPr>
        <w:rFonts w:ascii="Wingdings" w:hAnsi="Wingdings" w:hint="default"/>
      </w:rPr>
    </w:lvl>
    <w:lvl w:ilvl="3" w:tplc="9B883F2C">
      <w:start w:val="1"/>
      <w:numFmt w:val="bullet"/>
      <w:lvlText w:val=""/>
      <w:lvlJc w:val="left"/>
      <w:pPr>
        <w:ind w:left="2880" w:hanging="360"/>
      </w:pPr>
      <w:rPr>
        <w:rFonts w:ascii="Symbol" w:hAnsi="Symbol" w:hint="default"/>
      </w:rPr>
    </w:lvl>
    <w:lvl w:ilvl="4" w:tplc="EAE881F6">
      <w:start w:val="1"/>
      <w:numFmt w:val="bullet"/>
      <w:lvlText w:val="o"/>
      <w:lvlJc w:val="left"/>
      <w:pPr>
        <w:ind w:left="3600" w:hanging="360"/>
      </w:pPr>
      <w:rPr>
        <w:rFonts w:ascii="Courier New" w:hAnsi="Courier New" w:cs="Times New Roman" w:hint="default"/>
      </w:rPr>
    </w:lvl>
    <w:lvl w:ilvl="5" w:tplc="34DE859C">
      <w:start w:val="1"/>
      <w:numFmt w:val="bullet"/>
      <w:lvlText w:val=""/>
      <w:lvlJc w:val="left"/>
      <w:pPr>
        <w:ind w:left="4320" w:hanging="360"/>
      </w:pPr>
      <w:rPr>
        <w:rFonts w:ascii="Wingdings" w:hAnsi="Wingdings" w:hint="default"/>
      </w:rPr>
    </w:lvl>
    <w:lvl w:ilvl="6" w:tplc="199CF9B6">
      <w:start w:val="1"/>
      <w:numFmt w:val="bullet"/>
      <w:lvlText w:val=""/>
      <w:lvlJc w:val="left"/>
      <w:pPr>
        <w:ind w:left="5040" w:hanging="360"/>
      </w:pPr>
      <w:rPr>
        <w:rFonts w:ascii="Symbol" w:hAnsi="Symbol" w:hint="default"/>
      </w:rPr>
    </w:lvl>
    <w:lvl w:ilvl="7" w:tplc="632C09C2">
      <w:start w:val="1"/>
      <w:numFmt w:val="bullet"/>
      <w:lvlText w:val="o"/>
      <w:lvlJc w:val="left"/>
      <w:pPr>
        <w:ind w:left="5760" w:hanging="360"/>
      </w:pPr>
      <w:rPr>
        <w:rFonts w:ascii="Courier New" w:hAnsi="Courier New" w:cs="Times New Roman" w:hint="default"/>
      </w:rPr>
    </w:lvl>
    <w:lvl w:ilvl="8" w:tplc="9CF84718">
      <w:start w:val="1"/>
      <w:numFmt w:val="bullet"/>
      <w:lvlText w:val=""/>
      <w:lvlJc w:val="left"/>
      <w:pPr>
        <w:ind w:left="6480" w:hanging="360"/>
      </w:pPr>
      <w:rPr>
        <w:rFonts w:ascii="Wingdings" w:hAnsi="Wingdings" w:hint="default"/>
      </w:rPr>
    </w:lvl>
  </w:abstractNum>
  <w:abstractNum w:abstractNumId="3"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F09B7"/>
    <w:multiLevelType w:val="hybridMultilevel"/>
    <w:tmpl w:val="D126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C10A5C"/>
    <w:multiLevelType w:val="hybridMultilevel"/>
    <w:tmpl w:val="31363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78"/>
    <w:rsid w:val="0002144D"/>
    <w:rsid w:val="000229FC"/>
    <w:rsid w:val="00025EA6"/>
    <w:rsid w:val="00034655"/>
    <w:rsid w:val="00043541"/>
    <w:rsid w:val="00064BD2"/>
    <w:rsid w:val="0007337C"/>
    <w:rsid w:val="00073DE0"/>
    <w:rsid w:val="00081AD5"/>
    <w:rsid w:val="000848F1"/>
    <w:rsid w:val="000A3914"/>
    <w:rsid w:val="000B7D91"/>
    <w:rsid w:val="000E6C8C"/>
    <w:rsid w:val="000F59F8"/>
    <w:rsid w:val="00100F6B"/>
    <w:rsid w:val="0011748D"/>
    <w:rsid w:val="00120EDF"/>
    <w:rsid w:val="00126728"/>
    <w:rsid w:val="00127CFF"/>
    <w:rsid w:val="00132AEB"/>
    <w:rsid w:val="00133E3C"/>
    <w:rsid w:val="00142AC7"/>
    <w:rsid w:val="001472BD"/>
    <w:rsid w:val="00151BBA"/>
    <w:rsid w:val="00167B46"/>
    <w:rsid w:val="00184240"/>
    <w:rsid w:val="001A6F33"/>
    <w:rsid w:val="001B6A66"/>
    <w:rsid w:val="001C0E59"/>
    <w:rsid w:val="001C2C0B"/>
    <w:rsid w:val="001F2BBA"/>
    <w:rsid w:val="00212414"/>
    <w:rsid w:val="002336E7"/>
    <w:rsid w:val="00261B94"/>
    <w:rsid w:val="0027051B"/>
    <w:rsid w:val="00271FCD"/>
    <w:rsid w:val="0029064C"/>
    <w:rsid w:val="00294712"/>
    <w:rsid w:val="002955D1"/>
    <w:rsid w:val="002E352F"/>
    <w:rsid w:val="0031480A"/>
    <w:rsid w:val="00315130"/>
    <w:rsid w:val="00324C12"/>
    <w:rsid w:val="00330C4D"/>
    <w:rsid w:val="003554C9"/>
    <w:rsid w:val="003942A0"/>
    <w:rsid w:val="003A6008"/>
    <w:rsid w:val="003B11BB"/>
    <w:rsid w:val="003B2897"/>
    <w:rsid w:val="003B706D"/>
    <w:rsid w:val="003C7043"/>
    <w:rsid w:val="003D4A4F"/>
    <w:rsid w:val="003F5100"/>
    <w:rsid w:val="00411801"/>
    <w:rsid w:val="0042184D"/>
    <w:rsid w:val="004339F7"/>
    <w:rsid w:val="00443161"/>
    <w:rsid w:val="00444F11"/>
    <w:rsid w:val="00464946"/>
    <w:rsid w:val="00466E65"/>
    <w:rsid w:val="00475A6E"/>
    <w:rsid w:val="00476620"/>
    <w:rsid w:val="00492866"/>
    <w:rsid w:val="004A29F9"/>
    <w:rsid w:val="004A3478"/>
    <w:rsid w:val="004E2071"/>
    <w:rsid w:val="004F0CF5"/>
    <w:rsid w:val="004F2EE2"/>
    <w:rsid w:val="004F751E"/>
    <w:rsid w:val="005010AD"/>
    <w:rsid w:val="00536EC1"/>
    <w:rsid w:val="0054146A"/>
    <w:rsid w:val="005518F5"/>
    <w:rsid w:val="005563B5"/>
    <w:rsid w:val="005572FE"/>
    <w:rsid w:val="00575EB8"/>
    <w:rsid w:val="005A02B7"/>
    <w:rsid w:val="005A3423"/>
    <w:rsid w:val="005A38B0"/>
    <w:rsid w:val="005A5F1F"/>
    <w:rsid w:val="005A765A"/>
    <w:rsid w:val="005B3B13"/>
    <w:rsid w:val="005D05BD"/>
    <w:rsid w:val="005F22EA"/>
    <w:rsid w:val="005F7EEE"/>
    <w:rsid w:val="0061556F"/>
    <w:rsid w:val="0063547A"/>
    <w:rsid w:val="00644495"/>
    <w:rsid w:val="00655CB2"/>
    <w:rsid w:val="00667020"/>
    <w:rsid w:val="006A4AA4"/>
    <w:rsid w:val="006D043C"/>
    <w:rsid w:val="006E34E8"/>
    <w:rsid w:val="00700340"/>
    <w:rsid w:val="00711EEA"/>
    <w:rsid w:val="0072118B"/>
    <w:rsid w:val="00735A37"/>
    <w:rsid w:val="00741238"/>
    <w:rsid w:val="007427DC"/>
    <w:rsid w:val="007E3798"/>
    <w:rsid w:val="007F6725"/>
    <w:rsid w:val="00803C18"/>
    <w:rsid w:val="00810146"/>
    <w:rsid w:val="008174E7"/>
    <w:rsid w:val="00817852"/>
    <w:rsid w:val="008638ED"/>
    <w:rsid w:val="0086416E"/>
    <w:rsid w:val="008B65F9"/>
    <w:rsid w:val="008C7382"/>
    <w:rsid w:val="008E1786"/>
    <w:rsid w:val="008E373A"/>
    <w:rsid w:val="00900BEB"/>
    <w:rsid w:val="00903B6E"/>
    <w:rsid w:val="009170E1"/>
    <w:rsid w:val="00921258"/>
    <w:rsid w:val="00941D1D"/>
    <w:rsid w:val="00972F97"/>
    <w:rsid w:val="009805A4"/>
    <w:rsid w:val="009904BB"/>
    <w:rsid w:val="00996D08"/>
    <w:rsid w:val="009B41DC"/>
    <w:rsid w:val="009E163F"/>
    <w:rsid w:val="009E5F96"/>
    <w:rsid w:val="00A05A23"/>
    <w:rsid w:val="00A252C8"/>
    <w:rsid w:val="00A26316"/>
    <w:rsid w:val="00A50141"/>
    <w:rsid w:val="00A50395"/>
    <w:rsid w:val="00A536F9"/>
    <w:rsid w:val="00A541C1"/>
    <w:rsid w:val="00A57244"/>
    <w:rsid w:val="00A65BF3"/>
    <w:rsid w:val="00A70145"/>
    <w:rsid w:val="00A7038D"/>
    <w:rsid w:val="00A7642D"/>
    <w:rsid w:val="00A77037"/>
    <w:rsid w:val="00A9195F"/>
    <w:rsid w:val="00A9506D"/>
    <w:rsid w:val="00AA632A"/>
    <w:rsid w:val="00AA7A12"/>
    <w:rsid w:val="00AD433D"/>
    <w:rsid w:val="00AE097D"/>
    <w:rsid w:val="00AF0F61"/>
    <w:rsid w:val="00AF56D3"/>
    <w:rsid w:val="00AF701D"/>
    <w:rsid w:val="00B06E6A"/>
    <w:rsid w:val="00B200D5"/>
    <w:rsid w:val="00B22603"/>
    <w:rsid w:val="00B47ADE"/>
    <w:rsid w:val="00B56582"/>
    <w:rsid w:val="00B6483E"/>
    <w:rsid w:val="00B7016F"/>
    <w:rsid w:val="00BB4C72"/>
    <w:rsid w:val="00BE6850"/>
    <w:rsid w:val="00BF3945"/>
    <w:rsid w:val="00C2798C"/>
    <w:rsid w:val="00C31C0E"/>
    <w:rsid w:val="00C43F16"/>
    <w:rsid w:val="00C9013E"/>
    <w:rsid w:val="00CA7175"/>
    <w:rsid w:val="00CB6525"/>
    <w:rsid w:val="00CD04FE"/>
    <w:rsid w:val="00CD2429"/>
    <w:rsid w:val="00CE4C8D"/>
    <w:rsid w:val="00CF362A"/>
    <w:rsid w:val="00D15C0C"/>
    <w:rsid w:val="00D16F42"/>
    <w:rsid w:val="00D17A27"/>
    <w:rsid w:val="00D75370"/>
    <w:rsid w:val="00D87D15"/>
    <w:rsid w:val="00D953A1"/>
    <w:rsid w:val="00DC4950"/>
    <w:rsid w:val="00DC6FE6"/>
    <w:rsid w:val="00DD613D"/>
    <w:rsid w:val="00DE405E"/>
    <w:rsid w:val="00DF5E45"/>
    <w:rsid w:val="00E230F1"/>
    <w:rsid w:val="00E25709"/>
    <w:rsid w:val="00E536A0"/>
    <w:rsid w:val="00E659E2"/>
    <w:rsid w:val="00E83BA6"/>
    <w:rsid w:val="00E84B3A"/>
    <w:rsid w:val="00E85C9A"/>
    <w:rsid w:val="00EA339B"/>
    <w:rsid w:val="00EE0A61"/>
    <w:rsid w:val="00F13F0D"/>
    <w:rsid w:val="00F1474B"/>
    <w:rsid w:val="00F213FB"/>
    <w:rsid w:val="00F407C9"/>
    <w:rsid w:val="00F45872"/>
    <w:rsid w:val="00F4742E"/>
    <w:rsid w:val="00F57260"/>
    <w:rsid w:val="00F6211B"/>
    <w:rsid w:val="00F925F8"/>
    <w:rsid w:val="00FB267C"/>
    <w:rsid w:val="00FD74E9"/>
    <w:rsid w:val="00FE0ABD"/>
    <w:rsid w:val="00FE4003"/>
    <w:rsid w:val="00FE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5FE7FA"/>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 w:type="paragraph" w:styleId="Header">
    <w:name w:val="header"/>
    <w:basedOn w:val="Normal"/>
    <w:link w:val="HeaderChar"/>
    <w:uiPriority w:val="99"/>
    <w:unhideWhenUsed/>
    <w:rsid w:val="006E34E8"/>
    <w:pPr>
      <w:tabs>
        <w:tab w:val="center" w:pos="4513"/>
        <w:tab w:val="right" w:pos="9026"/>
      </w:tabs>
    </w:pPr>
  </w:style>
  <w:style w:type="character" w:customStyle="1" w:styleId="HeaderChar">
    <w:name w:val="Header Char"/>
    <w:basedOn w:val="DefaultParagraphFont"/>
    <w:link w:val="Header"/>
    <w:uiPriority w:val="99"/>
    <w:rsid w:val="006E34E8"/>
  </w:style>
  <w:style w:type="paragraph" w:styleId="Footer">
    <w:name w:val="footer"/>
    <w:basedOn w:val="Normal"/>
    <w:link w:val="FooterChar"/>
    <w:uiPriority w:val="99"/>
    <w:unhideWhenUsed/>
    <w:rsid w:val="006E34E8"/>
    <w:pPr>
      <w:tabs>
        <w:tab w:val="center" w:pos="4513"/>
        <w:tab w:val="right" w:pos="9026"/>
      </w:tabs>
    </w:pPr>
  </w:style>
  <w:style w:type="character" w:customStyle="1" w:styleId="FooterChar">
    <w:name w:val="Footer Char"/>
    <w:basedOn w:val="DefaultParagraphFont"/>
    <w:link w:val="Footer"/>
    <w:uiPriority w:val="99"/>
    <w:rsid w:val="006E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E164-8B05-4DB3-8EAE-E8F00249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11</cp:revision>
  <cp:lastPrinted>2021-09-30T08:30:00Z</cp:lastPrinted>
  <dcterms:created xsi:type="dcterms:W3CDTF">2021-08-10T13:06:00Z</dcterms:created>
  <dcterms:modified xsi:type="dcterms:W3CDTF">2021-09-30T08:34:00Z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Please treat this information as Official</vt:lpwstr>
  </property>
  <property fmtid="{D5CDD505-2E9C-101B-9397-08002B2CF9AE}" pid="5" name="ClassificationWatermarkShapeIds">
    <vt:lpwstr>4,5,6</vt:lpwstr>
  </property>
  <property fmtid="{D5CDD505-2E9C-101B-9397-08002B2CF9AE}" pid="6" name="ClassificationWatermarkFontProps">
    <vt:lpwstr>#000000,24,Calibri</vt:lpwstr>
  </property>
  <property fmtid="{D5CDD505-2E9C-101B-9397-08002B2CF9AE}" pid="7" name="ClassificationWatermarkText">
    <vt:lpwstr>Official</vt:lpwstr>
  </property>
  <property fmtid="{D5CDD505-2E9C-101B-9397-08002B2CF9AE}" pid="8" name="MSIP_Label_b40b5f3c-9b1b-4f7d-9339-6974d1767da9_Enabled">
    <vt:lpwstr>true</vt:lpwstr>
  </property>
  <property fmtid="{D5CDD505-2E9C-101B-9397-08002B2CF9AE}" pid="9" name="MSIP_Label_b40b5f3c-9b1b-4f7d-9339-6974d1767da9_SetDate">
    <vt:lpwstr>2021-09-10T10:13:01Z</vt:lpwstr>
  </property>
  <property fmtid="{D5CDD505-2E9C-101B-9397-08002B2CF9AE}" pid="10" name="MSIP_Label_b40b5f3c-9b1b-4f7d-9339-6974d1767da9_Method">
    <vt:lpwstr>Privileged</vt:lpwstr>
  </property>
  <property fmtid="{D5CDD505-2E9C-101B-9397-08002B2CF9AE}" pid="11" name="MSIP_Label_b40b5f3c-9b1b-4f7d-9339-6974d1767da9_Name">
    <vt:lpwstr>Official</vt:lpwstr>
  </property>
  <property fmtid="{D5CDD505-2E9C-101B-9397-08002B2CF9AE}" pid="12" name="MSIP_Label_b40b5f3c-9b1b-4f7d-9339-6974d1767da9_SiteId">
    <vt:lpwstr>2c282a6f-a0fc-4596-9ccc-2378f1b4cf1e</vt:lpwstr>
  </property>
  <property fmtid="{D5CDD505-2E9C-101B-9397-08002B2CF9AE}" pid="13" name="MSIP_Label_b40b5f3c-9b1b-4f7d-9339-6974d1767da9_ActionId">
    <vt:lpwstr>b883334a-daf4-464b-8e16-04d340472cd4</vt:lpwstr>
  </property>
  <property fmtid="{D5CDD505-2E9C-101B-9397-08002B2CF9AE}" pid="14" name="MSIP_Label_b40b5f3c-9b1b-4f7d-9339-6974d1767da9_ContentBits">
    <vt:lpwstr>6</vt:lpwstr>
  </property>
</Properties>
</file>